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195CC">
      <w:pPr>
        <w:pStyle w:val="26"/>
        <w:widowControl/>
        <w:tabs>
          <w:tab w:val="center" w:pos="4153"/>
          <w:tab w:val="right" w:pos="8306"/>
        </w:tabs>
        <w:autoSpaceDN/>
        <w:snapToGrid w:val="0"/>
        <w:spacing w:before="312" w:beforeLines="100" w:after="312" w:afterLines="100" w:line="360" w:lineRule="auto"/>
        <w:ind w:firstLine="422"/>
        <w:jc w:val="right"/>
        <w:rPr>
          <w:rFonts w:hint="eastAsia" w:ascii="仿宋" w:hAnsi="仿宋" w:eastAsia="仿宋"/>
          <w:b/>
          <w:sz w:val="21"/>
          <w:szCs w:val="21"/>
          <w:lang w:eastAsia="zh-CN"/>
        </w:rPr>
      </w:pPr>
      <w:r>
        <w:rPr>
          <w:rFonts w:hint="eastAsia" w:ascii="仿宋" w:hAnsi="仿宋" w:eastAsia="仿宋" w:cs="宋体"/>
          <w:b/>
          <w:kern w:val="2"/>
          <w:sz w:val="21"/>
          <w:szCs w:val="21"/>
          <w:lang w:eastAsia="zh-CN"/>
        </w:rPr>
        <w:t>合同编号：【SHACHNKH240703000966AS】</w:t>
      </w:r>
    </w:p>
    <w:p w14:paraId="5EE9E704">
      <w:pPr>
        <w:pStyle w:val="26"/>
        <w:widowControl/>
        <w:tabs>
          <w:tab w:val="center" w:pos="4153"/>
          <w:tab w:val="right" w:pos="8306"/>
        </w:tabs>
        <w:autoSpaceDN/>
        <w:snapToGrid w:val="0"/>
        <w:spacing w:before="3120" w:beforeLines="1000" w:after="3120" w:afterLines="1000" w:line="360" w:lineRule="auto"/>
        <w:ind w:firstLine="1044"/>
        <w:jc w:val="center"/>
        <w:rPr>
          <w:rFonts w:hint="eastAsia" w:ascii="仿宋" w:hAnsi="仿宋" w:eastAsia="仿宋"/>
          <w:b/>
          <w:sz w:val="52"/>
          <w:szCs w:val="52"/>
          <w:lang w:eastAsia="zh-CN"/>
        </w:rPr>
      </w:pPr>
      <w:r>
        <w:rPr>
          <w:rFonts w:hint="eastAsia" w:ascii="仿宋" w:hAnsi="仿宋" w:eastAsia="仿宋"/>
          <w:b/>
          <w:sz w:val="52"/>
          <w:szCs w:val="52"/>
          <w:lang w:eastAsia="zh-CN"/>
        </w:rPr>
        <w:t>AIoT智能开发套件 KHDVK-3861B产品销售合同</w:t>
      </w:r>
    </w:p>
    <w:tbl>
      <w:tblPr>
        <w:tblStyle w:val="1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846"/>
        <w:gridCol w:w="5290"/>
      </w:tblGrid>
      <w:tr w14:paraId="7CCB4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3" w:hRule="atLeast"/>
          <w:jc w:val="center"/>
        </w:trPr>
        <w:tc>
          <w:tcPr>
            <w:tcW w:w="846" w:type="dxa"/>
            <w:vAlign w:val="center"/>
          </w:tcPr>
          <w:p w14:paraId="3C984C66">
            <w:pPr>
              <w:ind w:left="-2" w:leftChars="-1" w:firstLine="2"/>
              <w:rPr>
                <w:rFonts w:hint="eastAsia" w:ascii="仿宋" w:hAnsi="仿宋"/>
                <w:b/>
                <w:bCs/>
                <w:sz w:val="32"/>
                <w:szCs w:val="32"/>
              </w:rPr>
            </w:pPr>
            <w:r>
              <w:rPr>
                <w:rFonts w:hint="eastAsia" w:ascii="仿宋" w:hAnsi="仿宋"/>
                <w:b/>
                <w:bCs/>
                <w:sz w:val="32"/>
                <w:szCs w:val="32"/>
              </w:rPr>
              <w:t>甲方：</w:t>
            </w:r>
          </w:p>
        </w:tc>
        <w:tc>
          <w:tcPr>
            <w:tcW w:w="5290" w:type="dxa"/>
            <w:tcBorders>
              <w:bottom w:val="single" w:color="auto" w:sz="12" w:space="0"/>
            </w:tcBorders>
            <w:vAlign w:val="center"/>
          </w:tcPr>
          <w:p w14:paraId="2947F3C3">
            <w:pPr>
              <w:ind w:firstLine="13" w:firstLineChars="4"/>
              <w:rPr>
                <w:rFonts w:hint="eastAsia" w:ascii="仿宋" w:hAnsi="仿宋"/>
                <w:b/>
                <w:bCs/>
                <w:sz w:val="32"/>
                <w:szCs w:val="32"/>
              </w:rPr>
            </w:pPr>
            <w:r>
              <w:rPr>
                <w:rFonts w:hint="eastAsia" w:ascii="仿宋" w:hAnsi="仿宋"/>
                <w:b/>
                <w:bCs/>
                <w:sz w:val="32"/>
                <w:szCs w:val="32"/>
              </w:rPr>
              <w:t>北京中软国际教育科技股份有限公司</w:t>
            </w:r>
          </w:p>
        </w:tc>
      </w:tr>
      <w:tr w14:paraId="09423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 w:hRule="atLeast"/>
          <w:jc w:val="center"/>
        </w:trPr>
        <w:tc>
          <w:tcPr>
            <w:tcW w:w="846" w:type="dxa"/>
            <w:vAlign w:val="center"/>
          </w:tcPr>
          <w:p w14:paraId="52AE1EEB">
            <w:pPr>
              <w:ind w:firstLine="2"/>
              <w:rPr>
                <w:rFonts w:hint="eastAsia" w:ascii="仿宋" w:hAnsi="仿宋"/>
                <w:b/>
                <w:bCs/>
                <w:sz w:val="32"/>
                <w:szCs w:val="32"/>
              </w:rPr>
            </w:pPr>
            <w:r>
              <w:rPr>
                <w:rFonts w:hint="eastAsia" w:ascii="仿宋" w:hAnsi="仿宋"/>
                <w:b/>
                <w:bCs/>
                <w:sz w:val="32"/>
                <w:szCs w:val="32"/>
              </w:rPr>
              <w:t>乙方：</w:t>
            </w:r>
          </w:p>
        </w:tc>
        <w:tc>
          <w:tcPr>
            <w:tcW w:w="5290" w:type="dxa"/>
            <w:tcBorders>
              <w:top w:val="single" w:color="auto" w:sz="12" w:space="0"/>
              <w:bottom w:val="single" w:color="auto" w:sz="12" w:space="0"/>
            </w:tcBorders>
            <w:vAlign w:val="center"/>
          </w:tcPr>
          <w:p w14:paraId="3CA2D66D">
            <w:pPr>
              <w:ind w:firstLine="13" w:firstLineChars="4"/>
              <w:rPr>
                <w:rFonts w:hint="eastAsia" w:ascii="仿宋" w:hAnsi="仿宋"/>
                <w:b/>
                <w:bCs/>
                <w:sz w:val="32"/>
                <w:szCs w:val="32"/>
              </w:rPr>
            </w:pPr>
            <w:r>
              <w:rPr>
                <w:rFonts w:hint="eastAsia" w:ascii="仿宋" w:hAnsi="仿宋"/>
                <w:b/>
                <w:bCs/>
                <w:sz w:val="32"/>
                <w:szCs w:val="32"/>
              </w:rPr>
              <w:t>深圳开鸿数字产业发展有限公司</w:t>
            </w:r>
          </w:p>
        </w:tc>
      </w:tr>
    </w:tbl>
    <w:p w14:paraId="63A0957D">
      <w:pPr>
        <w:pStyle w:val="26"/>
        <w:widowControl/>
        <w:tabs>
          <w:tab w:val="left" w:pos="0"/>
          <w:tab w:val="right" w:pos="8306"/>
        </w:tabs>
        <w:autoSpaceDN/>
        <w:snapToGrid w:val="0"/>
        <w:spacing w:line="360" w:lineRule="auto"/>
        <w:ind w:firstLine="883"/>
        <w:rPr>
          <w:rFonts w:hint="eastAsia" w:ascii="仿宋" w:hAnsi="仿宋" w:eastAsia="仿宋"/>
          <w:b/>
          <w:sz w:val="44"/>
          <w:szCs w:val="21"/>
          <w:lang w:eastAsia="zh-CN"/>
        </w:rPr>
        <w:sectPr>
          <w:headerReference r:id="rId3" w:type="default"/>
          <w:footerReference r:id="rId4" w:type="default"/>
          <w:pgSz w:w="11906" w:h="16838"/>
          <w:pgMar w:top="1418" w:right="1700" w:bottom="1418" w:left="1701" w:header="851" w:footer="992" w:gutter="0"/>
          <w:cols w:space="425" w:num="1"/>
          <w:docGrid w:type="lines" w:linePitch="312" w:charSpace="0"/>
        </w:sectPr>
      </w:pPr>
    </w:p>
    <w:tbl>
      <w:tblPr>
        <w:tblStyle w:val="13"/>
        <w:tblW w:w="92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28" w:type="dxa"/>
          <w:bottom w:w="0" w:type="dxa"/>
          <w:right w:w="28" w:type="dxa"/>
        </w:tblCellMar>
      </w:tblPr>
      <w:tblGrid>
        <w:gridCol w:w="1276"/>
        <w:gridCol w:w="7938"/>
      </w:tblGrid>
      <w:tr w14:paraId="39120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533" w:hRule="atLeast"/>
        </w:trPr>
        <w:tc>
          <w:tcPr>
            <w:tcW w:w="1276" w:type="dxa"/>
            <w:vAlign w:val="center"/>
          </w:tcPr>
          <w:p w14:paraId="641C4593">
            <w:pPr>
              <w:ind w:left="-1" w:leftChars="-11" w:hanging="25"/>
              <w:rPr>
                <w:rFonts w:hint="eastAsia" w:ascii="仿宋" w:hAnsi="仿宋"/>
                <w:b/>
                <w:bCs/>
                <w:szCs w:val="24"/>
              </w:rPr>
            </w:pPr>
          </w:p>
          <w:p w14:paraId="58BFAE7B">
            <w:pPr>
              <w:ind w:left="-1" w:leftChars="-11" w:hanging="25"/>
              <w:rPr>
                <w:rFonts w:hint="eastAsia" w:ascii="仿宋" w:hAnsi="仿宋"/>
                <w:b/>
                <w:bCs/>
                <w:szCs w:val="24"/>
              </w:rPr>
            </w:pPr>
            <w:r>
              <w:rPr>
                <w:rFonts w:hint="eastAsia" w:ascii="仿宋" w:hAnsi="仿宋"/>
                <w:b/>
                <w:bCs/>
                <w:szCs w:val="24"/>
              </w:rPr>
              <w:t xml:space="preserve">甲 </w:t>
            </w:r>
            <w:r>
              <w:rPr>
                <w:rFonts w:ascii="仿宋" w:hAnsi="仿宋"/>
                <w:b/>
                <w:bCs/>
                <w:szCs w:val="24"/>
              </w:rPr>
              <w:t xml:space="preserve">   </w:t>
            </w:r>
            <w:r>
              <w:rPr>
                <w:rFonts w:hint="eastAsia" w:ascii="仿宋" w:hAnsi="仿宋"/>
                <w:b/>
                <w:bCs/>
                <w:szCs w:val="24"/>
              </w:rPr>
              <w:t>方：</w:t>
            </w:r>
          </w:p>
        </w:tc>
        <w:tc>
          <w:tcPr>
            <w:tcW w:w="7938" w:type="dxa"/>
            <w:vAlign w:val="center"/>
          </w:tcPr>
          <w:p w14:paraId="3622E54B">
            <w:pPr>
              <w:ind w:firstLine="9" w:firstLineChars="4"/>
              <w:rPr>
                <w:rFonts w:hint="eastAsia" w:ascii="仿宋" w:hAnsi="仿宋"/>
                <w:szCs w:val="24"/>
              </w:rPr>
            </w:pPr>
            <w:r>
              <w:rPr>
                <w:rFonts w:hint="eastAsia" w:ascii="仿宋" w:hAnsi="仿宋"/>
                <w:szCs w:val="24"/>
              </w:rPr>
              <w:t>北京中软国际教育科技股份有限公司</w:t>
            </w:r>
          </w:p>
        </w:tc>
      </w:tr>
      <w:tr w14:paraId="284CC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18" w:hRule="atLeast"/>
        </w:trPr>
        <w:tc>
          <w:tcPr>
            <w:tcW w:w="1276" w:type="dxa"/>
            <w:vAlign w:val="center"/>
          </w:tcPr>
          <w:p w14:paraId="20654886">
            <w:pPr>
              <w:ind w:hanging="25"/>
              <w:rPr>
                <w:rFonts w:hint="eastAsia" w:ascii="仿宋" w:hAnsi="仿宋"/>
                <w:b/>
                <w:bCs/>
                <w:szCs w:val="24"/>
              </w:rPr>
            </w:pPr>
            <w:r>
              <w:rPr>
                <w:rFonts w:hint="eastAsia" w:ascii="仿宋" w:hAnsi="仿宋"/>
                <w:b/>
                <w:bCs/>
                <w:szCs w:val="24"/>
              </w:rPr>
              <w:t xml:space="preserve">地 </w:t>
            </w:r>
            <w:r>
              <w:rPr>
                <w:rFonts w:ascii="仿宋" w:hAnsi="仿宋"/>
                <w:b/>
                <w:bCs/>
                <w:szCs w:val="24"/>
              </w:rPr>
              <w:t xml:space="preserve">   </w:t>
            </w:r>
            <w:r>
              <w:rPr>
                <w:rFonts w:hint="eastAsia" w:ascii="仿宋" w:hAnsi="仿宋"/>
                <w:b/>
                <w:bCs/>
                <w:szCs w:val="24"/>
              </w:rPr>
              <w:t>址：</w:t>
            </w:r>
          </w:p>
        </w:tc>
        <w:tc>
          <w:tcPr>
            <w:tcW w:w="7938" w:type="dxa"/>
            <w:vAlign w:val="center"/>
          </w:tcPr>
          <w:p w14:paraId="434CB218">
            <w:pPr>
              <w:ind w:firstLine="9" w:firstLineChars="4"/>
              <w:rPr>
                <w:rFonts w:hint="eastAsia" w:ascii="仿宋" w:hAnsi="仿宋"/>
                <w:szCs w:val="24"/>
              </w:rPr>
            </w:pPr>
            <w:r>
              <w:rPr>
                <w:rFonts w:hint="eastAsia" w:ascii="仿宋" w:hAnsi="仿宋"/>
                <w:szCs w:val="24"/>
              </w:rPr>
              <w:t>北京市海淀区科学院南路2号融科资讯中心C座北楼15层1502</w:t>
            </w:r>
          </w:p>
        </w:tc>
      </w:tr>
      <w:tr w14:paraId="4BC34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18" w:hRule="atLeast"/>
        </w:trPr>
        <w:tc>
          <w:tcPr>
            <w:tcW w:w="1276" w:type="dxa"/>
            <w:vAlign w:val="center"/>
          </w:tcPr>
          <w:p w14:paraId="19E51C4D">
            <w:pPr>
              <w:ind w:left="23" w:leftChars="-1" w:hanging="25"/>
              <w:rPr>
                <w:rFonts w:hint="eastAsia" w:ascii="仿宋" w:hAnsi="仿宋"/>
                <w:b/>
                <w:bCs/>
                <w:szCs w:val="24"/>
              </w:rPr>
            </w:pPr>
            <w:r>
              <w:rPr>
                <w:rFonts w:hint="eastAsia" w:ascii="仿宋" w:hAnsi="仿宋"/>
                <w:b/>
                <w:bCs/>
                <w:szCs w:val="24"/>
              </w:rPr>
              <w:t>联 系 人：</w:t>
            </w:r>
          </w:p>
        </w:tc>
        <w:tc>
          <w:tcPr>
            <w:tcW w:w="7938" w:type="dxa"/>
            <w:vAlign w:val="center"/>
          </w:tcPr>
          <w:p w14:paraId="07404368">
            <w:pPr>
              <w:ind w:firstLine="9" w:firstLineChars="4"/>
              <w:rPr>
                <w:rFonts w:hint="eastAsia" w:ascii="仿宋" w:hAnsi="仿宋"/>
                <w:szCs w:val="24"/>
              </w:rPr>
            </w:pPr>
            <w:r>
              <w:rPr>
                <w:rFonts w:hint="eastAsia" w:ascii="仿宋" w:hAnsi="仿宋"/>
                <w:szCs w:val="24"/>
              </w:rPr>
              <w:t>刘天宇</w:t>
            </w:r>
          </w:p>
        </w:tc>
      </w:tr>
      <w:tr w14:paraId="1BDCB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543" w:hRule="atLeast"/>
        </w:trPr>
        <w:tc>
          <w:tcPr>
            <w:tcW w:w="1276" w:type="dxa"/>
            <w:vAlign w:val="center"/>
          </w:tcPr>
          <w:p w14:paraId="5447564B">
            <w:pPr>
              <w:ind w:left="23" w:leftChars="-1" w:hanging="25"/>
              <w:rPr>
                <w:rFonts w:hint="eastAsia" w:ascii="仿宋" w:hAnsi="仿宋"/>
                <w:b/>
                <w:bCs/>
                <w:szCs w:val="24"/>
              </w:rPr>
            </w:pPr>
            <w:r>
              <w:rPr>
                <w:rFonts w:hint="eastAsia" w:ascii="仿宋" w:hAnsi="仿宋"/>
                <w:b/>
                <w:bCs/>
                <w:szCs w:val="24"/>
              </w:rPr>
              <w:t>联系方式：</w:t>
            </w:r>
          </w:p>
        </w:tc>
        <w:tc>
          <w:tcPr>
            <w:tcW w:w="7938" w:type="dxa"/>
            <w:vAlign w:val="center"/>
          </w:tcPr>
          <w:p w14:paraId="4875159B">
            <w:pPr>
              <w:rPr>
                <w:rFonts w:hint="eastAsia" w:ascii="仿宋" w:hAnsi="仿宋"/>
                <w:szCs w:val="24"/>
              </w:rPr>
            </w:pPr>
            <w:r>
              <w:rPr>
                <w:rFonts w:hint="eastAsia" w:ascii="仿宋" w:hAnsi="仿宋"/>
                <w:szCs w:val="24"/>
              </w:rPr>
              <w:t>13126825006</w:t>
            </w:r>
          </w:p>
        </w:tc>
      </w:tr>
    </w:tbl>
    <w:p w14:paraId="6E35FA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2"/>
        <w:jc w:val="left"/>
        <w:rPr>
          <w:rFonts w:hint="eastAsia" w:ascii="仿宋" w:hAnsi="仿宋" w:cs="Arial"/>
          <w:b/>
          <w:kern w:val="0"/>
          <w:sz w:val="28"/>
          <w:szCs w:val="28"/>
        </w:rPr>
      </w:pPr>
    </w:p>
    <w:tbl>
      <w:tblPr>
        <w:tblStyle w:val="13"/>
        <w:tblW w:w="92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28" w:type="dxa"/>
          <w:bottom w:w="0" w:type="dxa"/>
          <w:right w:w="28" w:type="dxa"/>
        </w:tblCellMar>
      </w:tblPr>
      <w:tblGrid>
        <w:gridCol w:w="1276"/>
        <w:gridCol w:w="7938"/>
      </w:tblGrid>
      <w:tr w14:paraId="37605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533" w:hRule="atLeast"/>
        </w:trPr>
        <w:tc>
          <w:tcPr>
            <w:tcW w:w="1276" w:type="dxa"/>
            <w:vAlign w:val="center"/>
          </w:tcPr>
          <w:p w14:paraId="46B5CA8E">
            <w:pPr>
              <w:ind w:left="-2" w:leftChars="-1" w:firstLine="2"/>
              <w:rPr>
                <w:rFonts w:hint="eastAsia" w:ascii="仿宋" w:hAnsi="仿宋"/>
                <w:b/>
                <w:bCs/>
                <w:szCs w:val="24"/>
              </w:rPr>
            </w:pPr>
            <w:r>
              <w:rPr>
                <w:rFonts w:hint="eastAsia" w:ascii="仿宋" w:hAnsi="仿宋"/>
                <w:b/>
                <w:bCs/>
                <w:szCs w:val="24"/>
              </w:rPr>
              <w:t xml:space="preserve">乙 </w:t>
            </w:r>
            <w:r>
              <w:rPr>
                <w:rFonts w:ascii="仿宋" w:hAnsi="仿宋"/>
                <w:b/>
                <w:bCs/>
                <w:szCs w:val="24"/>
              </w:rPr>
              <w:t xml:space="preserve">   </w:t>
            </w:r>
            <w:r>
              <w:rPr>
                <w:rFonts w:hint="eastAsia" w:ascii="仿宋" w:hAnsi="仿宋"/>
                <w:b/>
                <w:bCs/>
                <w:szCs w:val="24"/>
              </w:rPr>
              <w:t>方：</w:t>
            </w:r>
          </w:p>
        </w:tc>
        <w:tc>
          <w:tcPr>
            <w:tcW w:w="7938" w:type="dxa"/>
            <w:vAlign w:val="center"/>
          </w:tcPr>
          <w:p w14:paraId="055EED52">
            <w:pPr>
              <w:ind w:firstLine="9" w:firstLineChars="4"/>
              <w:rPr>
                <w:rFonts w:hint="eastAsia" w:ascii="仿宋" w:hAnsi="仿宋"/>
                <w:szCs w:val="24"/>
              </w:rPr>
            </w:pPr>
            <w:r>
              <w:rPr>
                <w:rFonts w:hint="eastAsia" w:ascii="仿宋" w:hAnsi="仿宋"/>
                <w:szCs w:val="24"/>
              </w:rPr>
              <w:t>深圳开鸿数字产业发展有限公司</w:t>
            </w:r>
          </w:p>
        </w:tc>
      </w:tr>
      <w:tr w14:paraId="2FBE1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18" w:hRule="atLeast"/>
        </w:trPr>
        <w:tc>
          <w:tcPr>
            <w:tcW w:w="1276" w:type="dxa"/>
            <w:vAlign w:val="center"/>
          </w:tcPr>
          <w:p w14:paraId="32978B15">
            <w:pPr>
              <w:ind w:firstLine="2"/>
              <w:rPr>
                <w:rFonts w:hint="eastAsia" w:ascii="仿宋" w:hAnsi="仿宋"/>
                <w:b/>
                <w:bCs/>
                <w:szCs w:val="24"/>
              </w:rPr>
            </w:pPr>
            <w:r>
              <w:rPr>
                <w:rFonts w:hint="eastAsia" w:ascii="仿宋" w:hAnsi="仿宋"/>
                <w:b/>
                <w:bCs/>
                <w:szCs w:val="24"/>
              </w:rPr>
              <w:t xml:space="preserve">地 </w:t>
            </w:r>
            <w:r>
              <w:rPr>
                <w:rFonts w:ascii="仿宋" w:hAnsi="仿宋"/>
                <w:b/>
                <w:bCs/>
                <w:szCs w:val="24"/>
              </w:rPr>
              <w:t xml:space="preserve">   </w:t>
            </w:r>
            <w:r>
              <w:rPr>
                <w:rFonts w:hint="eastAsia" w:ascii="仿宋" w:hAnsi="仿宋"/>
                <w:b/>
                <w:bCs/>
                <w:szCs w:val="24"/>
              </w:rPr>
              <w:t>址：</w:t>
            </w:r>
          </w:p>
        </w:tc>
        <w:tc>
          <w:tcPr>
            <w:tcW w:w="7938" w:type="dxa"/>
            <w:vAlign w:val="center"/>
          </w:tcPr>
          <w:p w14:paraId="1E9BFABA">
            <w:pPr>
              <w:ind w:firstLine="9" w:firstLineChars="4"/>
              <w:rPr>
                <w:rFonts w:hint="eastAsia" w:ascii="仿宋" w:hAnsi="仿宋"/>
                <w:szCs w:val="24"/>
              </w:rPr>
            </w:pPr>
            <w:r>
              <w:rPr>
                <w:rFonts w:hint="eastAsia" w:ascii="仿宋" w:hAnsi="仿宋"/>
                <w:szCs w:val="24"/>
              </w:rPr>
              <w:t>深圳市福田区福保街道福保社区桃花路与槟榔道交汇处西北深九科技创业园3号楼308</w:t>
            </w:r>
          </w:p>
        </w:tc>
      </w:tr>
      <w:tr w14:paraId="44985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18" w:hRule="atLeast"/>
        </w:trPr>
        <w:tc>
          <w:tcPr>
            <w:tcW w:w="1276" w:type="dxa"/>
            <w:vAlign w:val="center"/>
          </w:tcPr>
          <w:p w14:paraId="03895439">
            <w:pPr>
              <w:ind w:left="-2" w:leftChars="-1" w:firstLine="2"/>
              <w:rPr>
                <w:rFonts w:hint="eastAsia" w:ascii="仿宋" w:hAnsi="仿宋"/>
                <w:b/>
                <w:bCs/>
                <w:szCs w:val="24"/>
              </w:rPr>
            </w:pPr>
            <w:r>
              <w:rPr>
                <w:rFonts w:hint="eastAsia" w:ascii="仿宋" w:hAnsi="仿宋"/>
                <w:b/>
                <w:bCs/>
                <w:szCs w:val="24"/>
              </w:rPr>
              <w:t>联 系 人：</w:t>
            </w:r>
          </w:p>
        </w:tc>
        <w:tc>
          <w:tcPr>
            <w:tcW w:w="7938" w:type="dxa"/>
            <w:vAlign w:val="center"/>
          </w:tcPr>
          <w:p w14:paraId="5CD2D3AA">
            <w:pPr>
              <w:ind w:firstLine="9" w:firstLineChars="4"/>
              <w:rPr>
                <w:rFonts w:hint="eastAsia" w:ascii="仿宋" w:hAnsi="仿宋"/>
                <w:szCs w:val="24"/>
              </w:rPr>
            </w:pPr>
            <w:r>
              <w:rPr>
                <w:rFonts w:hint="eastAsia" w:ascii="仿宋" w:hAnsi="仿宋"/>
                <w:szCs w:val="24"/>
              </w:rPr>
              <w:t>周喜明</w:t>
            </w:r>
          </w:p>
        </w:tc>
      </w:tr>
      <w:tr w14:paraId="2E929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237" w:hRule="atLeast"/>
        </w:trPr>
        <w:tc>
          <w:tcPr>
            <w:tcW w:w="1276" w:type="dxa"/>
            <w:vAlign w:val="center"/>
          </w:tcPr>
          <w:p w14:paraId="126C5E74">
            <w:pPr>
              <w:ind w:left="-2" w:leftChars="-1" w:firstLine="2"/>
              <w:rPr>
                <w:rFonts w:hint="eastAsia" w:ascii="仿宋" w:hAnsi="仿宋"/>
                <w:b/>
                <w:bCs/>
                <w:szCs w:val="24"/>
              </w:rPr>
            </w:pPr>
            <w:r>
              <w:rPr>
                <w:rFonts w:hint="eastAsia" w:ascii="仿宋" w:hAnsi="仿宋"/>
                <w:b/>
                <w:bCs/>
                <w:szCs w:val="24"/>
              </w:rPr>
              <w:t>联系方式：</w:t>
            </w:r>
          </w:p>
        </w:tc>
        <w:tc>
          <w:tcPr>
            <w:tcW w:w="7938" w:type="dxa"/>
            <w:vAlign w:val="center"/>
          </w:tcPr>
          <w:p w14:paraId="1AC2BDDB">
            <w:pPr>
              <w:ind w:firstLine="9" w:firstLineChars="4"/>
              <w:rPr>
                <w:rFonts w:hint="eastAsia" w:ascii="仿宋" w:hAnsi="仿宋"/>
                <w:szCs w:val="24"/>
              </w:rPr>
            </w:pPr>
            <w:r>
              <w:rPr>
                <w:rFonts w:hint="eastAsia" w:ascii="仿宋" w:hAnsi="仿宋"/>
                <w:szCs w:val="24"/>
              </w:rPr>
              <w:t>18719280308</w:t>
            </w:r>
          </w:p>
        </w:tc>
      </w:tr>
    </w:tbl>
    <w:p w14:paraId="2A124B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仿宋_GB2312" w:hAnsi="仿宋" w:eastAsia="仿宋_GB2312" w:cs="Arial"/>
          <w:kern w:val="0"/>
          <w:szCs w:val="24"/>
        </w:rPr>
      </w:pPr>
    </w:p>
    <w:p w14:paraId="35CC51E3">
      <w:pPr>
        <w:spacing w:line="360" w:lineRule="auto"/>
        <w:ind w:firstLine="480" w:firstLineChars="200"/>
        <w:rPr>
          <w:rFonts w:hint="eastAsia" w:ascii="仿宋" w:hAnsi="仿宋" w:cs="仿宋"/>
          <w:szCs w:val="24"/>
        </w:rPr>
      </w:pPr>
      <w:r>
        <w:rPr>
          <w:rFonts w:hint="eastAsia" w:ascii="仿宋" w:hAnsi="仿宋" w:cs="仿宋"/>
          <w:szCs w:val="24"/>
        </w:rPr>
        <w:t>经甲乙双方充分协商，根据《中华人民共和国民法典》及其他法律、法规的有关规定，秉承公平、诚信、双赢、合作的原则，甲乙双方达成合作，双方订立本合同，并承诺共同遵守。</w:t>
      </w:r>
    </w:p>
    <w:p w14:paraId="0FF7D745">
      <w:pPr>
        <w:pStyle w:val="2"/>
      </w:pPr>
      <w:r>
        <w:rPr>
          <w:rFonts w:hint="eastAsia"/>
        </w:rPr>
        <w:t>合作内容</w:t>
      </w:r>
    </w:p>
    <w:p w14:paraId="05B326D9">
      <w:pPr>
        <w:widowControl/>
        <w:numPr>
          <w:ilvl w:val="0"/>
          <w:numId w:val="2"/>
        </w:numPr>
        <w:spacing w:line="360" w:lineRule="auto"/>
        <w:ind w:firstLine="480" w:firstLineChars="200"/>
        <w:jc w:val="left"/>
        <w:rPr>
          <w:rFonts w:hint="eastAsia" w:ascii="仿宋" w:hAnsi="仿宋" w:cs="仿宋"/>
          <w:szCs w:val="24"/>
        </w:rPr>
      </w:pPr>
      <w:r>
        <w:rPr>
          <w:rFonts w:hint="eastAsia" w:ascii="仿宋" w:hAnsi="仿宋" w:cs="仿宋"/>
          <w:szCs w:val="24"/>
        </w:rPr>
        <w:t>甲方向乙方</w:t>
      </w:r>
      <w:bookmarkStart w:id="0" w:name="_Hlk97910558"/>
      <w:r>
        <w:rPr>
          <w:rFonts w:hint="eastAsia" w:ascii="仿宋" w:hAnsi="仿宋" w:cs="仿宋"/>
          <w:szCs w:val="24"/>
        </w:rPr>
        <w:t>购买【AIoT智能开发套件 KHDVK-3861B】产品</w:t>
      </w:r>
      <w:bookmarkEnd w:id="0"/>
      <w:r>
        <w:rPr>
          <w:rFonts w:hint="eastAsia" w:ascii="仿宋" w:hAnsi="仿宋" w:cs="仿宋"/>
          <w:szCs w:val="24"/>
        </w:rPr>
        <w:t>（以下称“产品”）。</w:t>
      </w:r>
    </w:p>
    <w:p w14:paraId="47D94E7B">
      <w:pPr>
        <w:widowControl/>
        <w:numPr>
          <w:ilvl w:val="0"/>
          <w:numId w:val="2"/>
        </w:numPr>
        <w:spacing w:line="360" w:lineRule="auto"/>
        <w:ind w:firstLine="480" w:firstLineChars="200"/>
        <w:jc w:val="left"/>
        <w:rPr>
          <w:rFonts w:hint="eastAsia" w:ascii="仿宋" w:hAnsi="仿宋" w:cs="仿宋"/>
          <w:szCs w:val="24"/>
        </w:rPr>
      </w:pPr>
      <w:r>
        <w:rPr>
          <w:rFonts w:hint="eastAsia" w:ascii="仿宋" w:hAnsi="仿宋" w:cs="仿宋"/>
          <w:szCs w:val="24"/>
        </w:rPr>
        <w:t>双方确认，乙方向甲方出售的</w:t>
      </w:r>
      <w:bookmarkStart w:id="1" w:name="_Hlk97910654"/>
      <w:r>
        <w:rPr>
          <w:rFonts w:hint="eastAsia" w:ascii="仿宋" w:hAnsi="仿宋" w:cs="仿宋"/>
          <w:szCs w:val="24"/>
        </w:rPr>
        <w:t>【AIoT智能开发套件 KHDVK-3861B】产品</w:t>
      </w:r>
      <w:bookmarkEnd w:id="1"/>
      <w:r>
        <w:rPr>
          <w:rFonts w:hint="eastAsia" w:ascii="仿宋" w:hAnsi="仿宋" w:cs="仿宋"/>
          <w:szCs w:val="24"/>
        </w:rPr>
        <w:t>，是乙方拥有或经授权可以生产或销售的产品。</w:t>
      </w:r>
      <w:bookmarkStart w:id="2" w:name="_Hlk97910768"/>
    </w:p>
    <w:p w14:paraId="2A788204">
      <w:pPr>
        <w:widowControl/>
        <w:numPr>
          <w:ilvl w:val="0"/>
          <w:numId w:val="2"/>
        </w:numPr>
        <w:spacing w:line="360" w:lineRule="auto"/>
        <w:ind w:firstLine="480" w:firstLineChars="200"/>
        <w:jc w:val="left"/>
        <w:rPr>
          <w:rFonts w:hint="eastAsia" w:ascii="仿宋" w:hAnsi="仿宋" w:cs="仿宋"/>
          <w:szCs w:val="24"/>
        </w:rPr>
      </w:pPr>
      <w:r>
        <w:rPr>
          <w:rFonts w:hint="eastAsia" w:ascii="仿宋" w:hAnsi="仿宋" w:cs="仿宋"/>
          <w:szCs w:val="24"/>
        </w:rPr>
        <w:t>如甲方对乙方提供的产品另有功能定制需求，需经乙方评估，乙方同意后甲乙双方就产品定制化需求内容、交付时间、费用等内容签订补充协议。</w:t>
      </w:r>
    </w:p>
    <w:p w14:paraId="5FA931DA">
      <w:pPr>
        <w:pStyle w:val="2"/>
      </w:pPr>
      <w:r>
        <w:rPr>
          <w:rFonts w:hint="eastAsia"/>
        </w:rPr>
        <w:t>合作期限</w:t>
      </w:r>
    </w:p>
    <w:p w14:paraId="60BC4F54">
      <w:pPr>
        <w:spacing w:line="360" w:lineRule="auto"/>
        <w:ind w:firstLine="480" w:firstLineChars="200"/>
        <w:rPr>
          <w:rFonts w:hint="eastAsia" w:ascii="仿宋" w:hAnsi="仿宋" w:cs="仿宋"/>
          <w:szCs w:val="24"/>
        </w:rPr>
      </w:pPr>
      <w:r>
        <w:rPr>
          <w:rFonts w:hint="eastAsia" w:ascii="仿宋" w:hAnsi="仿宋" w:cs="仿宋"/>
          <w:szCs w:val="24"/>
        </w:rPr>
        <w:t>协议有效期，自甲方收货之日起计算一年内。期限届满后，如双方希望继续合作，应另行签订书面协议。</w:t>
      </w:r>
    </w:p>
    <w:bookmarkEnd w:id="2"/>
    <w:p w14:paraId="6FF3D2DF">
      <w:pPr>
        <w:pStyle w:val="2"/>
        <w:rPr>
          <w:rFonts w:hint="eastAsia" w:ascii="仿宋" w:hAnsi="仿宋" w:cs="仿宋"/>
          <w:b w:val="0"/>
          <w:bCs w:val="0"/>
          <w:kern w:val="2"/>
          <w:sz w:val="24"/>
          <w:szCs w:val="24"/>
        </w:rPr>
      </w:pPr>
      <w:r>
        <w:rPr>
          <w:rFonts w:hint="eastAsia"/>
        </w:rPr>
        <w:t>产品规格</w:t>
      </w:r>
    </w:p>
    <w:p w14:paraId="0F622CF2">
      <w:pPr>
        <w:spacing w:line="360" w:lineRule="auto"/>
        <w:ind w:firstLine="480" w:firstLineChars="200"/>
        <w:rPr>
          <w:rFonts w:hint="eastAsia" w:ascii="仿宋" w:hAnsi="仿宋" w:cs="仿宋"/>
          <w:szCs w:val="24"/>
        </w:rPr>
      </w:pPr>
      <w:r>
        <w:rPr>
          <w:rFonts w:hint="eastAsia" w:ascii="仿宋" w:hAnsi="仿宋" w:cs="仿宋"/>
          <w:szCs w:val="24"/>
        </w:rPr>
        <w:t>乙方产品规格详见：附件一《产品配置清单》。</w:t>
      </w:r>
    </w:p>
    <w:p w14:paraId="646EC1A0">
      <w:pPr>
        <w:pStyle w:val="2"/>
      </w:pPr>
      <w:r>
        <w:rPr>
          <w:rFonts w:hint="eastAsia"/>
        </w:rPr>
        <w:t>产品价格</w:t>
      </w:r>
    </w:p>
    <w:p w14:paraId="16277134">
      <w:pPr>
        <w:widowControl/>
        <w:numPr>
          <w:ilvl w:val="0"/>
          <w:numId w:val="3"/>
        </w:numPr>
        <w:spacing w:line="360" w:lineRule="auto"/>
        <w:ind w:firstLine="480" w:firstLineChars="200"/>
        <w:jc w:val="left"/>
        <w:rPr>
          <w:rFonts w:hint="eastAsia" w:ascii="仿宋" w:hAnsi="仿宋" w:cs="仿宋"/>
          <w:szCs w:val="24"/>
        </w:rPr>
      </w:pPr>
      <w:r>
        <w:rPr>
          <w:rFonts w:hint="eastAsia" w:ascii="仿宋" w:hAnsi="仿宋" w:cs="仿宋"/>
          <w:szCs w:val="24"/>
        </w:rPr>
        <w:t>甲方同意根据以下标准向乙方支付本合同下产品费用：</w:t>
      </w:r>
    </w:p>
    <w:p w14:paraId="1123C9A3">
      <w:pPr>
        <w:widowControl/>
        <w:spacing w:line="360" w:lineRule="auto"/>
        <w:jc w:val="left"/>
        <w:rPr>
          <w:rFonts w:hint="eastAsia" w:ascii="仿宋" w:hAnsi="仿宋" w:cs="仿宋"/>
          <w:szCs w:val="24"/>
        </w:rPr>
      </w:pPr>
    </w:p>
    <w:p w14:paraId="628AF9F7">
      <w:pPr>
        <w:widowControl/>
        <w:spacing w:line="360" w:lineRule="auto"/>
        <w:jc w:val="left"/>
        <w:rPr>
          <w:rFonts w:hint="eastAsia" w:ascii="仿宋" w:hAnsi="仿宋" w:cs="仿宋"/>
          <w:szCs w:val="24"/>
        </w:rPr>
      </w:pPr>
      <w:r>
        <w:rPr>
          <w:rFonts w:ascii="仿宋" w:hAnsi="仿宋" w:cs="仿宋"/>
          <w:szCs w:val="24"/>
        </w:rPr>
        <w:t xml:space="preserve"> </w:t>
      </w:r>
    </w:p>
    <w:tbl>
      <w:tblPr>
        <w:tblStyle w:val="13"/>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1980"/>
        <w:gridCol w:w="849"/>
        <w:gridCol w:w="1056"/>
        <w:gridCol w:w="707"/>
        <w:gridCol w:w="1411"/>
        <w:gridCol w:w="1412"/>
      </w:tblGrid>
      <w:tr w14:paraId="1F164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14:paraId="76FD1AB1">
            <w:pPr>
              <w:widowControl/>
              <w:spacing w:line="360" w:lineRule="auto"/>
              <w:jc w:val="center"/>
              <w:rPr>
                <w:rFonts w:hint="eastAsia" w:ascii="仿宋" w:hAnsi="仿宋" w:cs="仿宋"/>
                <w:b/>
                <w:bCs/>
                <w:sz w:val="21"/>
                <w:szCs w:val="21"/>
              </w:rPr>
            </w:pPr>
            <w:r>
              <w:rPr>
                <w:rFonts w:hint="eastAsia" w:ascii="仿宋" w:hAnsi="仿宋" w:cs="仿宋"/>
                <w:b/>
                <w:bCs/>
                <w:sz w:val="21"/>
                <w:szCs w:val="21"/>
              </w:rPr>
              <w:t>序号</w:t>
            </w:r>
          </w:p>
        </w:tc>
        <w:tc>
          <w:tcPr>
            <w:tcW w:w="1980" w:type="dxa"/>
            <w:vAlign w:val="center"/>
          </w:tcPr>
          <w:p w14:paraId="3E956A4F">
            <w:pPr>
              <w:widowControl/>
              <w:spacing w:line="360" w:lineRule="auto"/>
              <w:jc w:val="center"/>
              <w:rPr>
                <w:rFonts w:hint="eastAsia" w:ascii="仿宋" w:hAnsi="仿宋" w:cs="仿宋"/>
                <w:b/>
                <w:bCs/>
                <w:sz w:val="21"/>
                <w:szCs w:val="21"/>
              </w:rPr>
            </w:pPr>
            <w:r>
              <w:rPr>
                <w:rFonts w:hint="eastAsia" w:ascii="仿宋" w:hAnsi="仿宋" w:cs="仿宋"/>
                <w:b/>
                <w:bCs/>
                <w:sz w:val="21"/>
                <w:szCs w:val="21"/>
              </w:rPr>
              <w:t>产品名称</w:t>
            </w:r>
          </w:p>
        </w:tc>
        <w:tc>
          <w:tcPr>
            <w:tcW w:w="696" w:type="dxa"/>
            <w:vAlign w:val="center"/>
          </w:tcPr>
          <w:p w14:paraId="7DF1BD7B">
            <w:pPr>
              <w:widowControl/>
              <w:spacing w:line="360" w:lineRule="auto"/>
              <w:jc w:val="center"/>
              <w:rPr>
                <w:rFonts w:hint="eastAsia" w:ascii="仿宋" w:hAnsi="仿宋" w:cs="仿宋"/>
                <w:b/>
                <w:bCs/>
                <w:sz w:val="21"/>
                <w:szCs w:val="21"/>
              </w:rPr>
            </w:pPr>
            <w:r>
              <w:rPr>
                <w:rFonts w:hint="eastAsia" w:ascii="仿宋" w:hAnsi="仿宋" w:cs="仿宋"/>
                <w:b/>
                <w:bCs/>
                <w:sz w:val="21"/>
                <w:szCs w:val="21"/>
              </w:rPr>
              <w:t>数量（套）</w:t>
            </w:r>
          </w:p>
        </w:tc>
        <w:tc>
          <w:tcPr>
            <w:tcW w:w="1020" w:type="dxa"/>
            <w:vAlign w:val="center"/>
          </w:tcPr>
          <w:p w14:paraId="502A1D7C">
            <w:pPr>
              <w:widowControl/>
              <w:spacing w:line="360" w:lineRule="auto"/>
              <w:jc w:val="center"/>
              <w:rPr>
                <w:rFonts w:hint="eastAsia" w:ascii="仿宋" w:hAnsi="仿宋" w:cs="仿宋"/>
                <w:b/>
                <w:bCs/>
                <w:sz w:val="21"/>
                <w:szCs w:val="21"/>
              </w:rPr>
            </w:pPr>
            <w:r>
              <w:rPr>
                <w:rFonts w:hint="eastAsia" w:ascii="仿宋" w:hAnsi="仿宋" w:cs="仿宋"/>
                <w:b/>
                <w:bCs/>
                <w:sz w:val="21"/>
                <w:szCs w:val="21"/>
              </w:rPr>
              <w:t>未税单价（元）</w:t>
            </w:r>
          </w:p>
        </w:tc>
        <w:tc>
          <w:tcPr>
            <w:tcW w:w="707" w:type="dxa"/>
            <w:vAlign w:val="center"/>
          </w:tcPr>
          <w:p w14:paraId="6E6A73BA">
            <w:pPr>
              <w:widowControl/>
              <w:spacing w:line="360" w:lineRule="auto"/>
              <w:jc w:val="center"/>
              <w:rPr>
                <w:rFonts w:hint="eastAsia" w:ascii="仿宋" w:hAnsi="仿宋" w:cs="仿宋"/>
                <w:b/>
                <w:bCs/>
                <w:sz w:val="21"/>
                <w:szCs w:val="21"/>
              </w:rPr>
            </w:pPr>
            <w:r>
              <w:rPr>
                <w:rFonts w:hint="eastAsia" w:ascii="仿宋" w:hAnsi="仿宋" w:cs="仿宋"/>
                <w:b/>
                <w:bCs/>
                <w:sz w:val="21"/>
                <w:szCs w:val="21"/>
              </w:rPr>
              <w:t>税率</w:t>
            </w:r>
          </w:p>
        </w:tc>
        <w:tc>
          <w:tcPr>
            <w:tcW w:w="1411" w:type="dxa"/>
            <w:vAlign w:val="center"/>
          </w:tcPr>
          <w:p w14:paraId="61AEEECA">
            <w:pPr>
              <w:widowControl/>
              <w:spacing w:line="360" w:lineRule="auto"/>
              <w:jc w:val="center"/>
              <w:rPr>
                <w:rFonts w:hint="eastAsia" w:ascii="仿宋" w:hAnsi="仿宋" w:cs="仿宋"/>
                <w:b/>
                <w:bCs/>
                <w:sz w:val="21"/>
                <w:szCs w:val="21"/>
              </w:rPr>
            </w:pPr>
            <w:r>
              <w:rPr>
                <w:rFonts w:hint="eastAsia" w:ascii="仿宋" w:hAnsi="仿宋" w:cs="仿宋"/>
                <w:b/>
                <w:bCs/>
                <w:sz w:val="21"/>
                <w:szCs w:val="21"/>
              </w:rPr>
              <w:t>含税单价（元）</w:t>
            </w:r>
          </w:p>
        </w:tc>
        <w:tc>
          <w:tcPr>
            <w:tcW w:w="1412" w:type="dxa"/>
            <w:vAlign w:val="center"/>
          </w:tcPr>
          <w:p w14:paraId="0340641F">
            <w:pPr>
              <w:widowControl/>
              <w:spacing w:line="360" w:lineRule="auto"/>
              <w:jc w:val="center"/>
              <w:rPr>
                <w:rFonts w:hint="eastAsia" w:ascii="仿宋" w:hAnsi="仿宋" w:cs="仿宋"/>
                <w:b/>
                <w:bCs/>
                <w:sz w:val="21"/>
                <w:szCs w:val="21"/>
              </w:rPr>
            </w:pPr>
            <w:r>
              <w:rPr>
                <w:rFonts w:hint="eastAsia" w:ascii="仿宋" w:hAnsi="仿宋" w:cs="仿宋"/>
                <w:b/>
                <w:bCs/>
                <w:sz w:val="21"/>
                <w:szCs w:val="21"/>
              </w:rPr>
              <w:t>含税总额（元）</w:t>
            </w:r>
          </w:p>
        </w:tc>
      </w:tr>
      <w:tr w14:paraId="0A16D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4" w:hRule="atLeast"/>
        </w:trPr>
        <w:tc>
          <w:tcPr>
            <w:tcW w:w="789" w:type="dxa"/>
            <w:vAlign w:val="center"/>
          </w:tcPr>
          <w:p w14:paraId="64150644">
            <w:pPr>
              <w:widowControl/>
              <w:spacing w:line="360" w:lineRule="auto"/>
              <w:jc w:val="center"/>
              <w:rPr>
                <w:rFonts w:hint="eastAsia" w:ascii="仿宋" w:hAnsi="仿宋" w:cs="仿宋"/>
                <w:sz w:val="21"/>
                <w:szCs w:val="21"/>
              </w:rPr>
            </w:pPr>
            <w:r>
              <w:rPr>
                <w:rFonts w:hint="eastAsia" w:ascii="仿宋" w:hAnsi="仿宋" w:cs="仿宋"/>
                <w:sz w:val="21"/>
                <w:szCs w:val="21"/>
              </w:rPr>
              <w:t>1</w:t>
            </w:r>
          </w:p>
        </w:tc>
        <w:tc>
          <w:tcPr>
            <w:tcW w:w="1980" w:type="dxa"/>
            <w:vAlign w:val="center"/>
          </w:tcPr>
          <w:p w14:paraId="00068156">
            <w:pPr>
              <w:widowControl/>
              <w:spacing w:line="360" w:lineRule="auto"/>
              <w:rPr>
                <w:rFonts w:hint="eastAsia" w:ascii="仿宋" w:hAnsi="仿宋" w:cs="仿宋"/>
                <w:sz w:val="21"/>
                <w:szCs w:val="21"/>
              </w:rPr>
            </w:pPr>
            <w:r>
              <w:rPr>
                <w:rFonts w:hint="eastAsia" w:ascii="仿宋" w:hAnsi="仿宋" w:cs="仿宋"/>
                <w:sz w:val="21"/>
                <w:szCs w:val="21"/>
              </w:rPr>
              <w:t>AIoT智能开</w:t>
            </w:r>
            <w:bookmarkStart w:id="5" w:name="_GoBack"/>
            <w:bookmarkEnd w:id="5"/>
            <w:r>
              <w:rPr>
                <w:rFonts w:hint="eastAsia" w:ascii="仿宋" w:hAnsi="仿宋" w:cs="仿宋"/>
                <w:sz w:val="21"/>
                <w:szCs w:val="21"/>
              </w:rPr>
              <w:t>发套件 KHDVK-3861B（全家福套餐）含【KaihongOS 轻量系统软件[简称：KaihongOS 轻量系统]V1.0】</w:t>
            </w:r>
          </w:p>
        </w:tc>
        <w:tc>
          <w:tcPr>
            <w:tcW w:w="696" w:type="dxa"/>
            <w:vAlign w:val="center"/>
          </w:tcPr>
          <w:p w14:paraId="2810C112">
            <w:pPr>
              <w:widowControl/>
              <w:spacing w:line="360" w:lineRule="auto"/>
              <w:jc w:val="center"/>
              <w:rPr>
                <w:rFonts w:hint="eastAsia" w:ascii="仿宋" w:hAnsi="仿宋" w:cs="仿宋"/>
                <w:sz w:val="21"/>
                <w:szCs w:val="21"/>
              </w:rPr>
            </w:pPr>
            <w:r>
              <w:rPr>
                <w:rFonts w:hint="eastAsia" w:ascii="仿宋" w:hAnsi="仿宋" w:cs="仿宋"/>
                <w:sz w:val="21"/>
                <w:szCs w:val="21"/>
              </w:rPr>
              <w:t>29</w:t>
            </w:r>
          </w:p>
        </w:tc>
        <w:tc>
          <w:tcPr>
            <w:tcW w:w="1020" w:type="dxa"/>
            <w:vAlign w:val="center"/>
          </w:tcPr>
          <w:p w14:paraId="78BF6B5E">
            <w:pPr>
              <w:widowControl/>
              <w:spacing w:line="360" w:lineRule="auto"/>
              <w:jc w:val="center"/>
              <w:rPr>
                <w:rFonts w:hint="eastAsia" w:ascii="仿宋" w:hAnsi="仿宋" w:cs="仿宋"/>
                <w:sz w:val="21"/>
                <w:szCs w:val="21"/>
              </w:rPr>
            </w:pPr>
            <w:r>
              <w:rPr>
                <w:rFonts w:hint="eastAsia" w:ascii="仿宋" w:hAnsi="仿宋" w:cs="仿宋"/>
                <w:sz w:val="21"/>
                <w:szCs w:val="21"/>
              </w:rPr>
              <w:t>1,106.19</w:t>
            </w:r>
          </w:p>
        </w:tc>
        <w:tc>
          <w:tcPr>
            <w:tcW w:w="707" w:type="dxa"/>
            <w:vAlign w:val="center"/>
          </w:tcPr>
          <w:p w14:paraId="27B889CE">
            <w:pPr>
              <w:widowControl/>
              <w:spacing w:line="360" w:lineRule="auto"/>
              <w:jc w:val="center"/>
              <w:rPr>
                <w:rFonts w:hint="eastAsia" w:ascii="仿宋" w:hAnsi="仿宋" w:cs="仿宋"/>
                <w:sz w:val="21"/>
                <w:szCs w:val="21"/>
              </w:rPr>
            </w:pPr>
            <w:r>
              <w:rPr>
                <w:rFonts w:hint="eastAsia" w:ascii="仿宋" w:hAnsi="仿宋" w:cs="仿宋"/>
                <w:sz w:val="21"/>
                <w:szCs w:val="21"/>
              </w:rPr>
              <w:t>1</w:t>
            </w:r>
            <w:r>
              <w:rPr>
                <w:rFonts w:ascii="仿宋" w:hAnsi="仿宋" w:cs="仿宋"/>
                <w:sz w:val="21"/>
                <w:szCs w:val="21"/>
              </w:rPr>
              <w:t>3%</w:t>
            </w:r>
          </w:p>
        </w:tc>
        <w:tc>
          <w:tcPr>
            <w:tcW w:w="1411" w:type="dxa"/>
            <w:vAlign w:val="center"/>
          </w:tcPr>
          <w:p w14:paraId="521F7964">
            <w:pPr>
              <w:widowControl/>
              <w:spacing w:line="360" w:lineRule="auto"/>
              <w:jc w:val="center"/>
              <w:rPr>
                <w:rFonts w:hint="eastAsia" w:ascii="仿宋" w:hAnsi="仿宋" w:cs="仿宋"/>
                <w:sz w:val="21"/>
                <w:szCs w:val="21"/>
              </w:rPr>
            </w:pPr>
            <w:r>
              <w:rPr>
                <w:rFonts w:hint="eastAsia" w:ascii="仿宋" w:hAnsi="仿宋" w:cs="仿宋"/>
                <w:sz w:val="21"/>
                <w:szCs w:val="21"/>
              </w:rPr>
              <w:t>1,250</w:t>
            </w:r>
          </w:p>
        </w:tc>
        <w:tc>
          <w:tcPr>
            <w:tcW w:w="1412" w:type="dxa"/>
            <w:vAlign w:val="center"/>
          </w:tcPr>
          <w:p w14:paraId="2AB64B1A">
            <w:pPr>
              <w:widowControl/>
              <w:spacing w:line="360" w:lineRule="auto"/>
              <w:jc w:val="center"/>
              <w:rPr>
                <w:rFonts w:hint="eastAsia" w:ascii="仿宋" w:hAnsi="仿宋" w:cs="仿宋"/>
                <w:sz w:val="21"/>
                <w:szCs w:val="21"/>
              </w:rPr>
            </w:pPr>
            <w:r>
              <w:rPr>
                <w:rFonts w:hint="eastAsia" w:ascii="仿宋" w:hAnsi="仿宋" w:cs="仿宋"/>
                <w:sz w:val="21"/>
                <w:szCs w:val="21"/>
              </w:rPr>
              <w:t>36,250.00</w:t>
            </w:r>
          </w:p>
        </w:tc>
      </w:tr>
      <w:tr w14:paraId="266F0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tcPr>
          <w:p w14:paraId="312D9832">
            <w:pPr>
              <w:widowControl/>
              <w:spacing w:line="360" w:lineRule="auto"/>
              <w:jc w:val="left"/>
              <w:rPr>
                <w:rFonts w:hint="eastAsia" w:ascii="仿宋" w:hAnsi="仿宋" w:cs="仿宋"/>
                <w:sz w:val="21"/>
                <w:szCs w:val="21"/>
              </w:rPr>
            </w:pPr>
            <w:r>
              <w:rPr>
                <w:rFonts w:hint="eastAsia" w:ascii="仿宋" w:hAnsi="仿宋" w:cs="仿宋"/>
                <w:sz w:val="21"/>
                <w:szCs w:val="21"/>
              </w:rPr>
              <w:t>合计：</w:t>
            </w:r>
          </w:p>
        </w:tc>
        <w:tc>
          <w:tcPr>
            <w:tcW w:w="7226" w:type="dxa"/>
            <w:gridSpan w:val="6"/>
          </w:tcPr>
          <w:p w14:paraId="0999BA00">
            <w:pPr>
              <w:widowControl/>
              <w:spacing w:line="360" w:lineRule="auto"/>
              <w:jc w:val="left"/>
              <w:rPr>
                <w:rFonts w:hint="eastAsia" w:ascii="仿宋" w:hAnsi="仿宋" w:cs="仿宋"/>
                <w:sz w:val="21"/>
                <w:szCs w:val="21"/>
              </w:rPr>
            </w:pPr>
            <w:r>
              <w:rPr>
                <w:rFonts w:hint="eastAsia" w:ascii="仿宋" w:hAnsi="仿宋" w:cs="仿宋"/>
                <w:sz w:val="21"/>
                <w:szCs w:val="21"/>
              </w:rPr>
              <w:t>大写人民币：叁万陆仟贰佰伍拾元整</w:t>
            </w:r>
          </w:p>
          <w:p w14:paraId="5D87EC04">
            <w:pPr>
              <w:widowControl/>
              <w:spacing w:line="360" w:lineRule="auto"/>
              <w:jc w:val="left"/>
              <w:rPr>
                <w:rFonts w:hint="eastAsia" w:ascii="仿宋" w:hAnsi="仿宋" w:cs="仿宋"/>
                <w:sz w:val="21"/>
                <w:szCs w:val="21"/>
              </w:rPr>
            </w:pPr>
            <w:r>
              <w:rPr>
                <w:rFonts w:hint="eastAsia" w:ascii="仿宋" w:hAnsi="仿宋" w:cs="仿宋"/>
                <w:sz w:val="21"/>
                <w:szCs w:val="21"/>
              </w:rPr>
              <w:t>小写：含税总额36,250元，未税总额32,079.65元，税额： ¥4,170.35元</w:t>
            </w:r>
          </w:p>
        </w:tc>
      </w:tr>
    </w:tbl>
    <w:p w14:paraId="3B15E2A3">
      <w:pPr>
        <w:widowControl/>
        <w:spacing w:line="360" w:lineRule="auto"/>
        <w:ind w:firstLine="480" w:firstLineChars="200"/>
        <w:jc w:val="left"/>
        <w:rPr>
          <w:rFonts w:hint="eastAsia" w:ascii="仿宋" w:hAnsi="仿宋" w:cs="仿宋"/>
          <w:szCs w:val="24"/>
        </w:rPr>
      </w:pPr>
      <w:r>
        <w:rPr>
          <w:rFonts w:hint="eastAsia" w:ascii="仿宋" w:hAnsi="仿宋" w:cs="仿宋"/>
          <w:szCs w:val="24"/>
        </w:rPr>
        <w:t>2.如涉及</w:t>
      </w:r>
      <w:r>
        <w:rPr>
          <w:rFonts w:ascii="仿宋" w:hAnsi="仿宋" w:cs="仿宋"/>
          <w:szCs w:val="24"/>
        </w:rPr>
        <w:t>额外的</w:t>
      </w:r>
      <w:r>
        <w:rPr>
          <w:rFonts w:hint="eastAsia" w:ascii="仿宋" w:hAnsi="仿宋" w:cs="仿宋"/>
          <w:szCs w:val="24"/>
        </w:rPr>
        <w:t>培训、技术支持等相关费用，乙方根据实际情况另行报价收取。</w:t>
      </w:r>
    </w:p>
    <w:p w14:paraId="1A023595">
      <w:pPr>
        <w:pStyle w:val="2"/>
      </w:pPr>
      <w:r>
        <w:rPr>
          <w:rFonts w:hint="eastAsia"/>
        </w:rPr>
        <w:t>付款方式</w:t>
      </w:r>
    </w:p>
    <w:p w14:paraId="11F4A6E4">
      <w:pPr>
        <w:widowControl/>
        <w:numPr>
          <w:ilvl w:val="0"/>
          <w:numId w:val="4"/>
        </w:numPr>
        <w:spacing w:line="360" w:lineRule="auto"/>
        <w:ind w:firstLine="480"/>
        <w:jc w:val="left"/>
        <w:rPr>
          <w:rFonts w:hint="eastAsia" w:ascii="仿宋" w:hAnsi="仿宋" w:cs="仿宋"/>
          <w:color w:val="000000"/>
          <w:szCs w:val="24"/>
        </w:rPr>
      </w:pPr>
      <w:r>
        <w:rPr>
          <w:rFonts w:hint="eastAsia" w:ascii="仿宋" w:hAnsi="仿宋" w:cs="仿宋"/>
          <w:color w:val="000000"/>
          <w:szCs w:val="24"/>
        </w:rPr>
        <w:t>本合同签订后10个工作日内，甲方向乙方支付全部款项的50%（即小写：18,125.00</w:t>
      </w:r>
      <w:r>
        <w:rPr>
          <w:rFonts w:hint="eastAsia" w:ascii="仿宋" w:hAnsi="仿宋" w:cs="仿宋"/>
          <w:color w:val="000000"/>
          <w:szCs w:val="24"/>
          <w:lang w:val="en-US" w:eastAsia="zh-CN"/>
        </w:rPr>
        <w:t>元</w:t>
      </w:r>
      <w:r>
        <w:rPr>
          <w:rFonts w:hint="eastAsia" w:ascii="仿宋" w:hAnsi="仿宋" w:cs="仿宋"/>
          <w:color w:val="000000"/>
          <w:szCs w:val="24"/>
        </w:rPr>
        <w:t>，大写：人民币壹万捌仟壹佰贰拾伍</w:t>
      </w:r>
      <w:r>
        <w:rPr>
          <w:rFonts w:hint="eastAsia" w:ascii="仿宋" w:hAnsi="仿宋" w:cs="仿宋"/>
          <w:color w:val="000000"/>
          <w:szCs w:val="24"/>
          <w:lang w:val="en-US" w:eastAsia="zh-CN"/>
        </w:rPr>
        <w:t>元整</w:t>
      </w:r>
      <w:r>
        <w:rPr>
          <w:rFonts w:hint="eastAsia" w:ascii="仿宋" w:hAnsi="仿宋" w:cs="仿宋"/>
          <w:color w:val="000000"/>
          <w:szCs w:val="24"/>
        </w:rPr>
        <w:t>，含税），收到甲方首款后乙方安排发货，甲方验收合格后15日内支付尾款（即小写：18,125.00</w:t>
      </w:r>
      <w:r>
        <w:rPr>
          <w:rFonts w:hint="eastAsia" w:ascii="仿宋" w:hAnsi="仿宋" w:cs="仿宋"/>
          <w:color w:val="000000"/>
          <w:szCs w:val="24"/>
          <w:lang w:val="en-US" w:eastAsia="zh-CN"/>
        </w:rPr>
        <w:t>元</w:t>
      </w:r>
      <w:r>
        <w:rPr>
          <w:rFonts w:hint="eastAsia" w:ascii="仿宋" w:hAnsi="仿宋" w:cs="仿宋"/>
          <w:color w:val="000000"/>
          <w:szCs w:val="24"/>
        </w:rPr>
        <w:t>，大写：人民币壹万捌仟壹佰贰拾伍</w:t>
      </w:r>
      <w:r>
        <w:rPr>
          <w:rFonts w:hint="eastAsia" w:ascii="仿宋" w:hAnsi="仿宋" w:cs="仿宋"/>
          <w:color w:val="000000"/>
          <w:szCs w:val="24"/>
          <w:lang w:val="en-US" w:eastAsia="zh-CN"/>
        </w:rPr>
        <w:t>元整</w:t>
      </w:r>
      <w:r>
        <w:rPr>
          <w:rFonts w:hint="eastAsia" w:ascii="仿宋" w:hAnsi="仿宋" w:cs="仿宋"/>
          <w:color w:val="000000"/>
          <w:szCs w:val="24"/>
        </w:rPr>
        <w:t>，含税）。</w:t>
      </w:r>
    </w:p>
    <w:p w14:paraId="2766E5F6">
      <w:pPr>
        <w:widowControl/>
        <w:numPr>
          <w:ilvl w:val="0"/>
          <w:numId w:val="4"/>
        </w:numPr>
        <w:spacing w:line="360" w:lineRule="auto"/>
        <w:ind w:firstLine="480"/>
        <w:jc w:val="left"/>
        <w:rPr>
          <w:rFonts w:ascii="仿宋" w:hAnsi="仿宋" w:cs="仿宋"/>
          <w:color w:val="000000"/>
          <w:szCs w:val="24"/>
        </w:rPr>
      </w:pPr>
      <w:r>
        <w:rPr>
          <w:rFonts w:hint="eastAsia" w:ascii="仿宋" w:hAnsi="仿宋" w:cs="仿宋"/>
          <w:color w:val="000000"/>
          <w:szCs w:val="24"/>
        </w:rPr>
        <w:t>乙方应在甲方每次付款前开具等额增值税专用发票，税率为</w:t>
      </w:r>
      <w:r>
        <w:rPr>
          <w:rFonts w:ascii="仿宋" w:hAnsi="仿宋" w:cs="仿宋"/>
          <w:color w:val="000000"/>
          <w:szCs w:val="24"/>
        </w:rPr>
        <w:t>13</w:t>
      </w:r>
      <w:r>
        <w:rPr>
          <w:rFonts w:hint="eastAsia" w:ascii="仿宋" w:hAnsi="仿宋" w:cs="仿宋"/>
          <w:color w:val="000000"/>
          <w:szCs w:val="24"/>
        </w:rPr>
        <w:t>%。</w:t>
      </w:r>
    </w:p>
    <w:p w14:paraId="61A802C5">
      <w:pPr>
        <w:widowControl/>
        <w:numPr>
          <w:ilvl w:val="0"/>
          <w:numId w:val="4"/>
        </w:numPr>
        <w:spacing w:line="360" w:lineRule="auto"/>
        <w:ind w:firstLine="480"/>
        <w:jc w:val="left"/>
        <w:rPr>
          <w:rFonts w:hint="eastAsia" w:ascii="仿宋" w:hAnsi="仿宋" w:cs="仿宋"/>
          <w:color w:val="000000"/>
          <w:szCs w:val="24"/>
        </w:rPr>
      </w:pPr>
      <w:r>
        <w:rPr>
          <w:rFonts w:hint="eastAsia" w:ascii="仿宋" w:hAnsi="仿宋" w:cs="仿宋"/>
          <w:color w:val="000000"/>
          <w:szCs w:val="24"/>
        </w:rPr>
        <w:t>本合同履行期间内，不含税金额不变；如遇国家税率调整，双方根据国家税率变化调整税金金额。</w:t>
      </w:r>
    </w:p>
    <w:p w14:paraId="54A8518E">
      <w:pPr>
        <w:spacing w:line="360" w:lineRule="auto"/>
        <w:ind w:firstLine="482" w:firstLineChars="200"/>
        <w:rPr>
          <w:rFonts w:hint="eastAsia" w:ascii="仿宋" w:hAnsi="仿宋" w:cs="仿宋"/>
          <w:szCs w:val="24"/>
        </w:rPr>
      </w:pPr>
      <w:r>
        <w:rPr>
          <w:rFonts w:hint="eastAsia" w:ascii="仿宋" w:hAnsi="仿宋" w:cs="仿宋"/>
          <w:b/>
          <w:bCs/>
          <w:szCs w:val="24"/>
        </w:rPr>
        <w:t>乙方指定收款账户信息</w:t>
      </w:r>
      <w:r>
        <w:rPr>
          <w:rFonts w:hint="eastAsia" w:ascii="仿宋" w:hAnsi="仿宋" w:cs="仿宋"/>
          <w:szCs w:val="24"/>
        </w:rPr>
        <w:t>：</w:t>
      </w:r>
    </w:p>
    <w:tbl>
      <w:tblPr>
        <w:tblStyle w:val="13"/>
        <w:tblW w:w="6804" w:type="dxa"/>
        <w:tblInd w:w="56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28" w:type="dxa"/>
          <w:bottom w:w="0" w:type="dxa"/>
          <w:right w:w="28" w:type="dxa"/>
        </w:tblCellMar>
      </w:tblPr>
      <w:tblGrid>
        <w:gridCol w:w="1276"/>
        <w:gridCol w:w="5528"/>
      </w:tblGrid>
      <w:tr w14:paraId="2FDF2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475" w:hRule="atLeast"/>
        </w:trPr>
        <w:tc>
          <w:tcPr>
            <w:tcW w:w="1276" w:type="dxa"/>
            <w:vAlign w:val="center"/>
          </w:tcPr>
          <w:p w14:paraId="05E045ED">
            <w:pPr>
              <w:ind w:left="-2" w:leftChars="-13" w:hanging="29"/>
              <w:jc w:val="left"/>
              <w:rPr>
                <w:rFonts w:hint="eastAsia" w:ascii="仿宋" w:hAnsi="仿宋"/>
                <w:b/>
                <w:bCs/>
                <w:szCs w:val="24"/>
              </w:rPr>
            </w:pPr>
            <w:r>
              <w:rPr>
                <w:rFonts w:hint="eastAsia" w:ascii="仿宋" w:hAnsi="仿宋"/>
                <w:b/>
                <w:bCs/>
                <w:szCs w:val="24"/>
              </w:rPr>
              <w:t>账户名称：</w:t>
            </w:r>
          </w:p>
        </w:tc>
        <w:tc>
          <w:tcPr>
            <w:tcW w:w="5528" w:type="dxa"/>
            <w:vAlign w:val="center"/>
          </w:tcPr>
          <w:p w14:paraId="003994C8">
            <w:pPr>
              <w:ind w:firstLine="9" w:firstLineChars="4"/>
              <w:rPr>
                <w:rFonts w:hint="eastAsia" w:ascii="仿宋" w:hAnsi="仿宋"/>
                <w:szCs w:val="24"/>
              </w:rPr>
            </w:pPr>
            <w:r>
              <w:rPr>
                <w:rFonts w:hint="eastAsia" w:ascii="仿宋" w:hAnsi="仿宋"/>
                <w:szCs w:val="24"/>
              </w:rPr>
              <w:t>深圳开鸿数字产业发展有限公司</w:t>
            </w:r>
          </w:p>
        </w:tc>
      </w:tr>
      <w:tr w14:paraId="67FBB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475" w:hRule="atLeast"/>
        </w:trPr>
        <w:tc>
          <w:tcPr>
            <w:tcW w:w="1276" w:type="dxa"/>
            <w:vAlign w:val="center"/>
          </w:tcPr>
          <w:p w14:paraId="21ABE81D">
            <w:pPr>
              <w:ind w:hanging="29"/>
              <w:jc w:val="left"/>
              <w:rPr>
                <w:rFonts w:hint="eastAsia" w:ascii="仿宋" w:hAnsi="仿宋"/>
                <w:b/>
                <w:bCs/>
                <w:szCs w:val="24"/>
              </w:rPr>
            </w:pPr>
            <w:r>
              <w:rPr>
                <w:rFonts w:hint="eastAsia" w:ascii="仿宋" w:hAnsi="仿宋"/>
                <w:b/>
                <w:bCs/>
                <w:szCs w:val="24"/>
              </w:rPr>
              <w:t>银行账号：</w:t>
            </w:r>
          </w:p>
        </w:tc>
        <w:tc>
          <w:tcPr>
            <w:tcW w:w="5528" w:type="dxa"/>
            <w:vAlign w:val="center"/>
          </w:tcPr>
          <w:p w14:paraId="1912ADA6">
            <w:pPr>
              <w:ind w:firstLine="9" w:firstLineChars="4"/>
              <w:rPr>
                <w:rFonts w:hint="eastAsia" w:ascii="仿宋" w:hAnsi="仿宋"/>
                <w:szCs w:val="24"/>
              </w:rPr>
            </w:pPr>
            <w:r>
              <w:rPr>
                <w:rFonts w:hint="eastAsia" w:ascii="仿宋" w:hAnsi="仿宋" w:cs="仿宋"/>
                <w:color w:val="000000"/>
                <w:szCs w:val="24"/>
              </w:rPr>
              <w:t>773177279949</w:t>
            </w:r>
          </w:p>
        </w:tc>
      </w:tr>
      <w:tr w14:paraId="57447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475" w:hRule="atLeast"/>
        </w:trPr>
        <w:tc>
          <w:tcPr>
            <w:tcW w:w="1276" w:type="dxa"/>
            <w:vAlign w:val="center"/>
          </w:tcPr>
          <w:p w14:paraId="3B43A25D">
            <w:pPr>
              <w:ind w:left="27" w:leftChars="-1" w:hanging="29"/>
              <w:jc w:val="left"/>
              <w:rPr>
                <w:rFonts w:hint="eastAsia" w:ascii="仿宋" w:hAnsi="仿宋"/>
                <w:b/>
                <w:bCs/>
                <w:szCs w:val="24"/>
              </w:rPr>
            </w:pPr>
            <w:r>
              <w:rPr>
                <w:rFonts w:hint="eastAsia" w:ascii="仿宋" w:hAnsi="仿宋"/>
                <w:b/>
                <w:bCs/>
                <w:szCs w:val="24"/>
              </w:rPr>
              <w:t>开户银行：</w:t>
            </w:r>
          </w:p>
        </w:tc>
        <w:tc>
          <w:tcPr>
            <w:tcW w:w="5528" w:type="dxa"/>
            <w:vAlign w:val="center"/>
          </w:tcPr>
          <w:p w14:paraId="5D23BB17">
            <w:pPr>
              <w:ind w:firstLine="9" w:firstLineChars="4"/>
              <w:rPr>
                <w:rFonts w:hint="eastAsia" w:ascii="黑体" w:hAnsi="黑体" w:eastAsia="黑体"/>
                <w:sz w:val="28"/>
                <w:szCs w:val="28"/>
              </w:rPr>
            </w:pPr>
            <w:r>
              <w:rPr>
                <w:rFonts w:hint="eastAsia" w:ascii="仿宋" w:hAnsi="仿宋" w:cs="仿宋"/>
                <w:color w:val="000000"/>
                <w:szCs w:val="24"/>
              </w:rPr>
              <w:t>中国银行股份有限公司深圳南头支行</w:t>
            </w:r>
          </w:p>
        </w:tc>
      </w:tr>
    </w:tbl>
    <w:p w14:paraId="06D3C22D">
      <w:pPr>
        <w:spacing w:line="360" w:lineRule="auto"/>
        <w:ind w:firstLine="482" w:firstLineChars="200"/>
        <w:rPr>
          <w:rFonts w:hint="eastAsia" w:ascii="仿宋" w:hAnsi="仿宋" w:cs="仿宋"/>
          <w:szCs w:val="24"/>
        </w:rPr>
      </w:pPr>
      <w:r>
        <w:rPr>
          <w:rFonts w:hint="eastAsia" w:ascii="仿宋" w:hAnsi="仿宋" w:cs="仿宋"/>
          <w:b/>
          <w:bCs/>
          <w:szCs w:val="24"/>
        </w:rPr>
        <w:t>甲方开票信息</w:t>
      </w:r>
      <w:r>
        <w:rPr>
          <w:rFonts w:hint="eastAsia" w:ascii="仿宋" w:hAnsi="仿宋" w:cs="仿宋"/>
          <w:szCs w:val="24"/>
        </w:rPr>
        <w:t>：</w:t>
      </w:r>
    </w:p>
    <w:tbl>
      <w:tblPr>
        <w:tblStyle w:val="13"/>
        <w:tblW w:w="6804" w:type="dxa"/>
        <w:tblInd w:w="56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28" w:type="dxa"/>
          <w:bottom w:w="0" w:type="dxa"/>
          <w:right w:w="28" w:type="dxa"/>
        </w:tblCellMar>
      </w:tblPr>
      <w:tblGrid>
        <w:gridCol w:w="1276"/>
        <w:gridCol w:w="5528"/>
      </w:tblGrid>
      <w:tr w14:paraId="416EE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475" w:hRule="atLeast"/>
        </w:trPr>
        <w:tc>
          <w:tcPr>
            <w:tcW w:w="1276" w:type="dxa"/>
            <w:vAlign w:val="center"/>
          </w:tcPr>
          <w:p w14:paraId="2FD07596">
            <w:pPr>
              <w:ind w:left="-2" w:leftChars="-13" w:hanging="29"/>
              <w:rPr>
                <w:rFonts w:hint="eastAsia" w:ascii="仿宋" w:hAnsi="仿宋"/>
                <w:b/>
                <w:bCs/>
                <w:szCs w:val="24"/>
              </w:rPr>
            </w:pPr>
            <w:r>
              <w:rPr>
                <w:rFonts w:hint="eastAsia" w:ascii="仿宋" w:hAnsi="仿宋"/>
                <w:b/>
                <w:bCs/>
                <w:szCs w:val="24"/>
              </w:rPr>
              <w:t>公司名称：</w:t>
            </w:r>
          </w:p>
        </w:tc>
        <w:tc>
          <w:tcPr>
            <w:tcW w:w="5528" w:type="dxa"/>
            <w:vAlign w:val="center"/>
          </w:tcPr>
          <w:p w14:paraId="77ADF600">
            <w:pPr>
              <w:pStyle w:val="25"/>
              <w:adjustRightInd w:val="0"/>
              <w:snapToGrid w:val="0"/>
              <w:spacing w:line="312" w:lineRule="auto"/>
              <w:ind w:firstLine="0" w:firstLineChars="0"/>
              <w:jc w:val="left"/>
              <w:rPr>
                <w:rFonts w:hint="eastAsia" w:ascii="仿宋" w:hAnsi="仿宋" w:eastAsia="仿宋" w:cs="仿宋"/>
                <w:color w:val="000000"/>
                <w:szCs w:val="24"/>
              </w:rPr>
            </w:pPr>
            <w:r>
              <w:rPr>
                <w:rFonts w:hint="eastAsia" w:ascii="仿宋" w:hAnsi="仿宋" w:eastAsia="仿宋" w:cs="仿宋"/>
                <w:color w:val="000000"/>
                <w:szCs w:val="24"/>
              </w:rPr>
              <w:t>北京中软国际教育科技股份有限公司</w:t>
            </w:r>
          </w:p>
        </w:tc>
      </w:tr>
      <w:tr w14:paraId="4580A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475" w:hRule="atLeast"/>
        </w:trPr>
        <w:tc>
          <w:tcPr>
            <w:tcW w:w="1276" w:type="dxa"/>
            <w:vAlign w:val="center"/>
          </w:tcPr>
          <w:p w14:paraId="6C100441">
            <w:pPr>
              <w:ind w:hanging="29"/>
              <w:rPr>
                <w:rFonts w:hint="eastAsia" w:ascii="仿宋" w:hAnsi="仿宋"/>
                <w:b/>
                <w:bCs/>
                <w:szCs w:val="24"/>
              </w:rPr>
            </w:pPr>
            <w:r>
              <w:rPr>
                <w:rFonts w:hint="eastAsia" w:ascii="仿宋" w:hAnsi="仿宋"/>
                <w:b/>
                <w:bCs/>
                <w:szCs w:val="24"/>
              </w:rPr>
              <w:t>纳 税 号：</w:t>
            </w:r>
          </w:p>
        </w:tc>
        <w:tc>
          <w:tcPr>
            <w:tcW w:w="5528" w:type="dxa"/>
            <w:vAlign w:val="center"/>
          </w:tcPr>
          <w:p w14:paraId="32FE87A1">
            <w:pPr>
              <w:pStyle w:val="25"/>
              <w:adjustRightInd w:val="0"/>
              <w:snapToGrid w:val="0"/>
              <w:spacing w:line="312" w:lineRule="auto"/>
              <w:ind w:firstLine="0" w:firstLineChars="0"/>
              <w:jc w:val="left"/>
              <w:rPr>
                <w:rFonts w:hint="eastAsia" w:ascii="仿宋" w:hAnsi="仿宋" w:eastAsia="仿宋" w:cs="仿宋"/>
                <w:color w:val="000000"/>
                <w:szCs w:val="24"/>
              </w:rPr>
            </w:pPr>
            <w:r>
              <w:rPr>
                <w:rFonts w:hint="eastAsia" w:ascii="仿宋" w:hAnsi="仿宋" w:eastAsia="仿宋" w:cs="仿宋"/>
                <w:color w:val="000000"/>
                <w:szCs w:val="24"/>
              </w:rPr>
              <w:t>911101086835916386</w:t>
            </w:r>
          </w:p>
        </w:tc>
      </w:tr>
      <w:tr w14:paraId="6DE20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532" w:hRule="atLeast"/>
        </w:trPr>
        <w:tc>
          <w:tcPr>
            <w:tcW w:w="1276" w:type="dxa"/>
            <w:vAlign w:val="center"/>
          </w:tcPr>
          <w:p w14:paraId="31070D95">
            <w:pPr>
              <w:ind w:left="27" w:leftChars="-1" w:hanging="29"/>
              <w:rPr>
                <w:rFonts w:hint="eastAsia" w:ascii="仿宋" w:hAnsi="仿宋"/>
                <w:b/>
                <w:bCs/>
                <w:szCs w:val="24"/>
              </w:rPr>
            </w:pPr>
            <w:r>
              <w:rPr>
                <w:rFonts w:hint="eastAsia" w:ascii="仿宋" w:hAnsi="仿宋"/>
                <w:b/>
                <w:bCs/>
                <w:szCs w:val="24"/>
              </w:rPr>
              <w:t>单位地址：</w:t>
            </w:r>
          </w:p>
        </w:tc>
        <w:tc>
          <w:tcPr>
            <w:tcW w:w="5528" w:type="dxa"/>
            <w:vAlign w:val="center"/>
          </w:tcPr>
          <w:p w14:paraId="39A050FC">
            <w:pPr>
              <w:rPr>
                <w:rFonts w:hint="eastAsia" w:ascii="仿宋" w:hAnsi="仿宋" w:cs="仿宋"/>
                <w:color w:val="000000"/>
                <w:szCs w:val="24"/>
              </w:rPr>
            </w:pPr>
            <w:r>
              <w:rPr>
                <w:rFonts w:hint="eastAsia" w:ascii="仿宋" w:hAnsi="仿宋" w:cs="仿宋"/>
                <w:color w:val="000000"/>
                <w:szCs w:val="24"/>
              </w:rPr>
              <w:t>北京市海淀区科学院南路2号融科资讯中心C座北楼15层1502</w:t>
            </w:r>
          </w:p>
        </w:tc>
      </w:tr>
      <w:tr w14:paraId="4FFAA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475" w:hRule="atLeast"/>
        </w:trPr>
        <w:tc>
          <w:tcPr>
            <w:tcW w:w="1276" w:type="dxa"/>
            <w:vAlign w:val="center"/>
          </w:tcPr>
          <w:p w14:paraId="7982D43D">
            <w:pPr>
              <w:ind w:left="27" w:leftChars="-1" w:hanging="29"/>
              <w:rPr>
                <w:rFonts w:hint="eastAsia" w:ascii="仿宋" w:hAnsi="仿宋"/>
                <w:b/>
                <w:bCs/>
                <w:szCs w:val="24"/>
              </w:rPr>
            </w:pPr>
            <w:r>
              <w:rPr>
                <w:rFonts w:hint="eastAsia" w:ascii="仿宋" w:hAnsi="仿宋"/>
                <w:b/>
                <w:bCs/>
                <w:szCs w:val="24"/>
              </w:rPr>
              <w:t>电话号码：</w:t>
            </w:r>
          </w:p>
        </w:tc>
        <w:tc>
          <w:tcPr>
            <w:tcW w:w="5528" w:type="dxa"/>
            <w:vAlign w:val="center"/>
          </w:tcPr>
          <w:p w14:paraId="238775B5">
            <w:pPr>
              <w:rPr>
                <w:rFonts w:hint="eastAsia" w:ascii="仿宋" w:hAnsi="仿宋" w:cs="仿宋"/>
                <w:color w:val="000000"/>
                <w:szCs w:val="24"/>
              </w:rPr>
            </w:pPr>
            <w:r>
              <w:rPr>
                <w:rFonts w:hint="eastAsia" w:ascii="仿宋" w:hAnsi="仿宋" w:cs="仿宋"/>
                <w:color w:val="000000"/>
                <w:szCs w:val="24"/>
              </w:rPr>
              <w:t>010-82861666</w:t>
            </w:r>
          </w:p>
        </w:tc>
      </w:tr>
      <w:tr w14:paraId="587E0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475" w:hRule="atLeast"/>
        </w:trPr>
        <w:tc>
          <w:tcPr>
            <w:tcW w:w="1276" w:type="dxa"/>
            <w:vAlign w:val="center"/>
          </w:tcPr>
          <w:p w14:paraId="201D1082">
            <w:pPr>
              <w:ind w:left="27" w:leftChars="-1" w:hanging="29"/>
              <w:rPr>
                <w:rFonts w:hint="eastAsia" w:ascii="仿宋" w:hAnsi="仿宋"/>
                <w:b/>
                <w:bCs/>
                <w:szCs w:val="24"/>
              </w:rPr>
            </w:pPr>
            <w:r>
              <w:rPr>
                <w:rFonts w:hint="eastAsia" w:ascii="仿宋" w:hAnsi="仿宋"/>
                <w:b/>
                <w:bCs/>
                <w:szCs w:val="24"/>
              </w:rPr>
              <w:t>开户银行：</w:t>
            </w:r>
          </w:p>
        </w:tc>
        <w:tc>
          <w:tcPr>
            <w:tcW w:w="5528" w:type="dxa"/>
            <w:vAlign w:val="center"/>
          </w:tcPr>
          <w:p w14:paraId="52F77B3A">
            <w:pPr>
              <w:pStyle w:val="25"/>
              <w:adjustRightInd w:val="0"/>
              <w:snapToGrid w:val="0"/>
              <w:spacing w:line="312" w:lineRule="auto"/>
              <w:ind w:firstLine="0" w:firstLineChars="0"/>
              <w:jc w:val="left"/>
              <w:rPr>
                <w:rFonts w:hint="eastAsia" w:ascii="仿宋" w:hAnsi="仿宋" w:eastAsia="仿宋" w:cs="仿宋"/>
                <w:color w:val="000000"/>
                <w:szCs w:val="24"/>
              </w:rPr>
            </w:pPr>
            <w:r>
              <w:rPr>
                <w:rFonts w:hint="eastAsia" w:ascii="仿宋" w:hAnsi="仿宋" w:eastAsia="仿宋" w:cs="仿宋"/>
                <w:color w:val="000000"/>
                <w:szCs w:val="24"/>
              </w:rPr>
              <w:t>北京银行中关村支行</w:t>
            </w:r>
          </w:p>
        </w:tc>
      </w:tr>
      <w:tr w14:paraId="3236B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475" w:hRule="atLeast"/>
        </w:trPr>
        <w:tc>
          <w:tcPr>
            <w:tcW w:w="1276" w:type="dxa"/>
            <w:vAlign w:val="center"/>
          </w:tcPr>
          <w:p w14:paraId="017A3EF1">
            <w:pPr>
              <w:ind w:hanging="29"/>
              <w:rPr>
                <w:rFonts w:hint="eastAsia" w:ascii="仿宋" w:hAnsi="仿宋"/>
                <w:b/>
                <w:bCs/>
                <w:szCs w:val="24"/>
              </w:rPr>
            </w:pPr>
            <w:r>
              <w:rPr>
                <w:rFonts w:hint="eastAsia" w:ascii="仿宋" w:hAnsi="仿宋"/>
                <w:b/>
                <w:bCs/>
                <w:szCs w:val="24"/>
              </w:rPr>
              <w:t>银行账号：</w:t>
            </w:r>
          </w:p>
        </w:tc>
        <w:tc>
          <w:tcPr>
            <w:tcW w:w="5528" w:type="dxa"/>
            <w:vAlign w:val="center"/>
          </w:tcPr>
          <w:p w14:paraId="3922C4D4">
            <w:pPr>
              <w:rPr>
                <w:rFonts w:hint="eastAsia" w:ascii="仿宋" w:hAnsi="仿宋" w:cs="仿宋"/>
                <w:color w:val="000000"/>
                <w:szCs w:val="24"/>
              </w:rPr>
            </w:pPr>
            <w:r>
              <w:rPr>
                <w:rFonts w:hint="eastAsia" w:ascii="仿宋" w:hAnsi="仿宋" w:cs="仿宋"/>
                <w:color w:val="000000"/>
                <w:szCs w:val="24"/>
              </w:rPr>
              <w:t>0109 0302 9001 2010 5606 242</w:t>
            </w:r>
          </w:p>
        </w:tc>
      </w:tr>
    </w:tbl>
    <w:p w14:paraId="1FCA7862">
      <w:pPr>
        <w:numPr>
          <w:ilvl w:val="255"/>
          <w:numId w:val="0"/>
        </w:numPr>
        <w:spacing w:line="360" w:lineRule="auto"/>
        <w:ind w:firstLine="480" w:firstLineChars="200"/>
        <w:rPr>
          <w:rFonts w:hint="eastAsia" w:ascii="仿宋" w:hAnsi="仿宋" w:cs="仿宋"/>
          <w:color w:val="000000"/>
          <w:szCs w:val="24"/>
        </w:rPr>
      </w:pPr>
    </w:p>
    <w:p w14:paraId="247A912F">
      <w:pPr>
        <w:pStyle w:val="2"/>
      </w:pPr>
      <w:r>
        <w:rPr>
          <w:rFonts w:hint="eastAsia"/>
        </w:rPr>
        <w:t>交货方式及时间</w:t>
      </w:r>
    </w:p>
    <w:p w14:paraId="78648D87">
      <w:pPr>
        <w:widowControl/>
        <w:numPr>
          <w:ilvl w:val="0"/>
          <w:numId w:val="5"/>
        </w:numPr>
        <w:spacing w:line="360" w:lineRule="auto"/>
        <w:ind w:firstLine="480" w:firstLineChars="200"/>
        <w:jc w:val="left"/>
        <w:rPr>
          <w:rFonts w:hint="eastAsia" w:ascii="仿宋" w:hAnsi="仿宋" w:cs="仿宋"/>
          <w:szCs w:val="24"/>
        </w:rPr>
      </w:pPr>
      <w:r>
        <w:rPr>
          <w:rFonts w:hint="eastAsia" w:ascii="仿宋" w:hAnsi="仿宋" w:cs="仿宋"/>
          <w:szCs w:val="24"/>
        </w:rPr>
        <w:t>交货地点：发货前，甲方至少提前3个工作日以书面形式向乙方提供中国境内交货地点。</w:t>
      </w:r>
    </w:p>
    <w:p w14:paraId="2E90B283">
      <w:pPr>
        <w:widowControl/>
        <w:numPr>
          <w:ilvl w:val="0"/>
          <w:numId w:val="5"/>
        </w:numPr>
        <w:spacing w:line="360" w:lineRule="auto"/>
        <w:ind w:firstLine="480" w:firstLineChars="200"/>
        <w:jc w:val="left"/>
        <w:rPr>
          <w:rFonts w:hint="eastAsia" w:ascii="仿宋" w:hAnsi="仿宋" w:cs="仿宋"/>
          <w:szCs w:val="24"/>
        </w:rPr>
      </w:pPr>
      <w:r>
        <w:rPr>
          <w:rFonts w:hint="eastAsia" w:ascii="仿宋" w:hAnsi="仿宋" w:cs="仿宋"/>
          <w:szCs w:val="24"/>
        </w:rPr>
        <w:t>交货方式：乙方委托第三方物流，将货物运送至甲方指定交货地点。</w:t>
      </w:r>
    </w:p>
    <w:p w14:paraId="6887CF60">
      <w:pPr>
        <w:widowControl/>
        <w:numPr>
          <w:ilvl w:val="0"/>
          <w:numId w:val="5"/>
        </w:numPr>
        <w:spacing w:line="360" w:lineRule="auto"/>
        <w:ind w:firstLine="480" w:firstLineChars="200"/>
        <w:jc w:val="left"/>
        <w:rPr>
          <w:rFonts w:hint="eastAsia" w:ascii="仿宋" w:hAnsi="仿宋" w:cs="仿宋"/>
          <w:szCs w:val="24"/>
        </w:rPr>
      </w:pPr>
      <w:r>
        <w:rPr>
          <w:rFonts w:hint="eastAsia" w:ascii="仿宋" w:hAnsi="仿宋" w:cs="仿宋"/>
          <w:szCs w:val="24"/>
        </w:rPr>
        <w:t>交货时间：</w:t>
      </w:r>
      <w:r>
        <w:rPr>
          <w:rFonts w:hint="eastAsia" w:ascii="仿宋" w:hAnsi="仿宋" w:cs="仿宋"/>
          <w:szCs w:val="24"/>
          <w:lang w:val="en-US" w:eastAsia="zh-CN"/>
        </w:rPr>
        <w:t>乙方收到</w:t>
      </w:r>
      <w:r>
        <w:rPr>
          <w:rFonts w:hint="eastAsia" w:ascii="仿宋" w:hAnsi="仿宋" w:cs="仿宋"/>
          <w:szCs w:val="24"/>
        </w:rPr>
        <w:t>甲方支付首款后【30】日内交货，如因不可抗力因素导致乙方不能履行或延期履行的，经甲乙双方友好协商后重定交货时间。</w:t>
      </w:r>
    </w:p>
    <w:p w14:paraId="1DD25B92">
      <w:pPr>
        <w:pStyle w:val="2"/>
      </w:pPr>
      <w:r>
        <w:rPr>
          <w:rFonts w:hint="eastAsia"/>
        </w:rPr>
        <w:t>运输与保证</w:t>
      </w:r>
    </w:p>
    <w:p w14:paraId="08355CC9">
      <w:pPr>
        <w:widowControl/>
        <w:numPr>
          <w:ilvl w:val="0"/>
          <w:numId w:val="6"/>
        </w:numPr>
        <w:spacing w:line="360" w:lineRule="auto"/>
        <w:ind w:firstLine="480" w:firstLineChars="200"/>
        <w:jc w:val="left"/>
        <w:rPr>
          <w:rFonts w:hint="eastAsia" w:ascii="仿宋" w:hAnsi="仿宋" w:cs="仿宋"/>
          <w:szCs w:val="24"/>
        </w:rPr>
      </w:pPr>
      <w:r>
        <w:rPr>
          <w:rFonts w:hint="eastAsia" w:ascii="仿宋" w:hAnsi="仿宋" w:cs="仿宋"/>
          <w:szCs w:val="24"/>
        </w:rPr>
        <w:t>乙方所提供设备为全新原厂原包装，包装按有关规定执行。乙方负责将全部货物运输至指定交货地点，并承担货物的运输风险。</w:t>
      </w:r>
      <w:r>
        <w:rPr>
          <w:rFonts w:hint="eastAsia" w:ascii="宋体" w:hAnsi="宋体"/>
          <w:szCs w:val="21"/>
        </w:rPr>
        <w:t>货物运输至甲方指定地点后，保管货物风险转移至甲方。</w:t>
      </w:r>
    </w:p>
    <w:p w14:paraId="10936266">
      <w:pPr>
        <w:widowControl/>
        <w:numPr>
          <w:ilvl w:val="0"/>
          <w:numId w:val="6"/>
        </w:numPr>
        <w:spacing w:line="360" w:lineRule="auto"/>
        <w:ind w:firstLine="480" w:firstLineChars="200"/>
        <w:jc w:val="left"/>
        <w:rPr>
          <w:rFonts w:hint="eastAsia" w:ascii="仿宋" w:hAnsi="仿宋" w:cs="仿宋"/>
          <w:szCs w:val="24"/>
        </w:rPr>
      </w:pPr>
      <w:r>
        <w:rPr>
          <w:rFonts w:hint="eastAsia" w:ascii="仿宋" w:hAnsi="仿宋" w:cs="仿宋"/>
          <w:szCs w:val="24"/>
        </w:rPr>
        <w:t>如果设备涉及说明书，规格书等文档类的资料，乙方将以电子文档格式提供给甲方。</w:t>
      </w:r>
    </w:p>
    <w:p w14:paraId="267C8605">
      <w:pPr>
        <w:pStyle w:val="2"/>
      </w:pPr>
      <w:r>
        <w:rPr>
          <w:rFonts w:hint="eastAsia"/>
        </w:rPr>
        <w:t>产品验收</w:t>
      </w:r>
    </w:p>
    <w:p w14:paraId="38161930">
      <w:pPr>
        <w:widowControl/>
        <w:numPr>
          <w:ilvl w:val="0"/>
          <w:numId w:val="7"/>
        </w:numPr>
        <w:spacing w:line="360" w:lineRule="auto"/>
        <w:ind w:firstLine="480"/>
        <w:jc w:val="left"/>
        <w:rPr>
          <w:rFonts w:hint="eastAsia" w:ascii="仿宋" w:hAnsi="仿宋" w:cs="仿宋"/>
          <w:szCs w:val="24"/>
        </w:rPr>
      </w:pPr>
      <w:r>
        <w:rPr>
          <w:rFonts w:hint="eastAsia" w:ascii="仿宋" w:hAnsi="仿宋" w:cs="仿宋"/>
          <w:szCs w:val="24"/>
        </w:rPr>
        <w:t>甲方收货时需签收送货单，货物移交且甲方付清全部合同款项、验收合格后，货物所有权转移至甲方。</w:t>
      </w:r>
    </w:p>
    <w:p w14:paraId="436E3702">
      <w:pPr>
        <w:widowControl/>
        <w:numPr>
          <w:ilvl w:val="0"/>
          <w:numId w:val="7"/>
        </w:numPr>
        <w:spacing w:line="360" w:lineRule="auto"/>
        <w:ind w:firstLine="480"/>
        <w:jc w:val="left"/>
        <w:rPr>
          <w:rFonts w:hint="eastAsia" w:ascii="仿宋" w:hAnsi="仿宋" w:cs="仿宋"/>
          <w:szCs w:val="24"/>
        </w:rPr>
      </w:pPr>
      <w:r>
        <w:rPr>
          <w:rFonts w:hint="eastAsia" w:ascii="仿宋" w:hAnsi="仿宋" w:cs="仿宋"/>
          <w:szCs w:val="24"/>
        </w:rPr>
        <w:t>甲方收货时若发现型号、数量与本合同有差异，需在收货当天向乙方提出书面异议，否则，视为到货的型号、数量符合双方约定标准，乙方交货完成。甲方收到货物后，应在3日内按附件《产品配置清单》完成产品验收并出具书面验收合格文件，逾期未出具书面验收文件也未提出书面异议的，视为甲方验收合格。甲方验收提出书面异议的，乙方应予以书面答复，</w:t>
      </w:r>
      <w:r>
        <w:rPr>
          <w:rFonts w:hint="eastAsia" w:ascii="仿宋" w:hAnsi="仿宋" w:cs="仿宋"/>
          <w:szCs w:val="24"/>
          <w:lang w:val="en-US" w:eastAsia="zh-CN"/>
        </w:rPr>
        <w:t>因货物质量问题导致无法维修的，需对</w:t>
      </w:r>
      <w:r>
        <w:rPr>
          <w:rFonts w:hint="eastAsia" w:ascii="仿宋" w:hAnsi="仿宋" w:cs="仿宋"/>
          <w:szCs w:val="24"/>
        </w:rPr>
        <w:t>货物进行免费退换并承担相关费用。</w:t>
      </w:r>
    </w:p>
    <w:p w14:paraId="73228923">
      <w:pPr>
        <w:pStyle w:val="2"/>
      </w:pPr>
      <w:r>
        <w:rPr>
          <w:rFonts w:hint="eastAsia"/>
        </w:rPr>
        <w:t>产品质量</w:t>
      </w:r>
    </w:p>
    <w:p w14:paraId="3CB9C2CB">
      <w:pPr>
        <w:spacing w:line="360" w:lineRule="auto"/>
        <w:ind w:firstLine="480" w:firstLineChars="200"/>
        <w:rPr>
          <w:rFonts w:hint="eastAsia" w:ascii="仿宋" w:hAnsi="仿宋" w:cs="仿宋"/>
          <w:szCs w:val="24"/>
        </w:rPr>
      </w:pPr>
      <w:r>
        <w:rPr>
          <w:rFonts w:hint="eastAsia" w:ascii="仿宋" w:hAnsi="仿宋" w:cs="仿宋"/>
          <w:szCs w:val="24"/>
        </w:rPr>
        <w:t>乙方保证交付甲方的所有产品符合相关</w:t>
      </w:r>
      <w:r>
        <w:rPr>
          <w:rFonts w:ascii="仿宋" w:hAnsi="仿宋" w:cs="仿宋"/>
          <w:szCs w:val="24"/>
        </w:rPr>
        <w:t>法律法规</w:t>
      </w:r>
      <w:r>
        <w:rPr>
          <w:rFonts w:hint="eastAsia" w:ascii="仿宋" w:hAnsi="仿宋" w:cs="仿宋"/>
          <w:szCs w:val="24"/>
        </w:rPr>
        <w:t>及行业规范中产品质量合格的相关规定。</w:t>
      </w:r>
    </w:p>
    <w:p w14:paraId="243716D1">
      <w:pPr>
        <w:pStyle w:val="2"/>
      </w:pPr>
      <w:r>
        <w:rPr>
          <w:rFonts w:hint="eastAsia"/>
        </w:rPr>
        <w:t>售后服务</w:t>
      </w:r>
    </w:p>
    <w:p w14:paraId="17B5D74D">
      <w:pPr>
        <w:pStyle w:val="18"/>
        <w:numPr>
          <w:ilvl w:val="0"/>
          <w:numId w:val="8"/>
        </w:numPr>
        <w:adjustRightInd w:val="0"/>
        <w:snapToGrid w:val="0"/>
        <w:spacing w:before="312" w:beforeLines="100" w:line="312" w:lineRule="auto"/>
        <w:ind w:firstLineChars="0"/>
        <w:jc w:val="left"/>
        <w:rPr>
          <w:rFonts w:hint="eastAsia" w:ascii="仿宋" w:hAnsi="仿宋" w:cs="仿宋"/>
          <w:szCs w:val="24"/>
        </w:rPr>
      </w:pPr>
      <w:r>
        <w:rPr>
          <w:rFonts w:hint="eastAsia" w:ascii="仿宋" w:hAnsi="仿宋" w:cs="仿宋"/>
          <w:szCs w:val="24"/>
        </w:rPr>
        <w:t>乙方保证所交付设备的售后服务参照厂商的标准保修条款，自甲方验收通过之日起计算，乙方提供12个月免费维保服务，非质量问题及人为损坏不在保修之列。</w:t>
      </w:r>
    </w:p>
    <w:p w14:paraId="79B37A71">
      <w:pPr>
        <w:pStyle w:val="18"/>
        <w:numPr>
          <w:ilvl w:val="0"/>
          <w:numId w:val="8"/>
        </w:numPr>
        <w:adjustRightInd w:val="0"/>
        <w:snapToGrid w:val="0"/>
        <w:spacing w:before="0" w:beforeLines="0" w:line="360" w:lineRule="auto"/>
        <w:ind w:firstLine="425" w:firstLineChars="0"/>
        <w:jc w:val="left"/>
        <w:rPr>
          <w:rFonts w:hint="eastAsia" w:ascii="仿宋" w:hAnsi="仿宋" w:cs="仿宋"/>
          <w:szCs w:val="24"/>
        </w:rPr>
      </w:pPr>
      <w:r>
        <w:rPr>
          <w:rFonts w:hint="eastAsia" w:ascii="仿宋" w:hAnsi="仿宋" w:cs="仿宋"/>
        </w:rPr>
        <w:t>对于以下情况不予保修：</w:t>
      </w:r>
    </w:p>
    <w:p w14:paraId="601E2F54">
      <w:pPr>
        <w:pStyle w:val="18"/>
        <w:numPr>
          <w:ilvl w:val="0"/>
          <w:numId w:val="9"/>
        </w:numPr>
        <w:adjustRightInd w:val="0"/>
        <w:snapToGrid w:val="0"/>
        <w:spacing w:line="360" w:lineRule="auto"/>
        <w:ind w:left="482" w:firstLineChars="0"/>
        <w:jc w:val="left"/>
        <w:rPr>
          <w:rFonts w:hint="eastAsia" w:ascii="仿宋" w:hAnsi="仿宋" w:cs="仿宋"/>
        </w:rPr>
      </w:pPr>
      <w:r>
        <w:rPr>
          <w:rFonts w:hint="eastAsia" w:ascii="仿宋" w:hAnsi="仿宋" w:cs="仿宋"/>
        </w:rPr>
        <w:t>产品识别信息（如条码、型号）被涂改、撕毁、破坏的故障件。</w:t>
      </w:r>
    </w:p>
    <w:p w14:paraId="2C327690">
      <w:pPr>
        <w:pStyle w:val="18"/>
        <w:numPr>
          <w:ilvl w:val="0"/>
          <w:numId w:val="9"/>
        </w:numPr>
        <w:adjustRightInd w:val="0"/>
        <w:snapToGrid w:val="0"/>
        <w:spacing w:line="360" w:lineRule="auto"/>
        <w:ind w:left="482" w:firstLineChars="0"/>
        <w:jc w:val="left"/>
        <w:rPr>
          <w:rFonts w:hint="eastAsia" w:ascii="仿宋" w:hAnsi="仿宋" w:cs="仿宋"/>
        </w:rPr>
      </w:pPr>
      <w:r>
        <w:rPr>
          <w:rFonts w:hint="eastAsia" w:ascii="仿宋" w:hAnsi="仿宋" w:cs="仿宋"/>
        </w:rPr>
        <w:t>人为故意或疏忽造成的损坏，包括非正常环境下使用，不按照说明书使用引起的损坏等。如：因电压异常（如电压过高、异常断电）、现场设备运行环境（比如温湿度、承重、液冷供水水质，流量及压差、管路材质及气密性等）或外部因素（比如外部电磁干扰、内部互联设备的故障等）不能满足设备正常运行的环境要求和通用行业标准或病毒感染导致的损坏。</w:t>
      </w:r>
    </w:p>
    <w:p w14:paraId="2C7ED05B">
      <w:pPr>
        <w:pStyle w:val="18"/>
        <w:numPr>
          <w:ilvl w:val="0"/>
          <w:numId w:val="9"/>
        </w:numPr>
        <w:adjustRightInd w:val="0"/>
        <w:snapToGrid w:val="0"/>
        <w:spacing w:line="360" w:lineRule="auto"/>
        <w:ind w:left="482" w:firstLineChars="0"/>
        <w:jc w:val="left"/>
        <w:rPr>
          <w:rFonts w:hint="eastAsia" w:ascii="仿宋" w:hAnsi="仿宋" w:cs="仿宋"/>
        </w:rPr>
      </w:pPr>
      <w:r>
        <w:rPr>
          <w:rFonts w:hint="eastAsia" w:ascii="仿宋" w:hAnsi="仿宋" w:cs="仿宋"/>
        </w:rPr>
        <w:t>因除乙方或乙方授权服务中心之外的人员或服务机构对设备进行拆机、维修、改装而造成的损坏。或非因乙方原因造成的故障，包括但不限于由于使用非乙方提供配件导致的故障，与第三方软件或硬件不兼容引起的故障</w:t>
      </w:r>
      <w:r>
        <w:rPr>
          <w:rFonts w:hint="eastAsia" w:ascii="仿宋" w:hAnsi="仿宋" w:cs="Times New Roman"/>
        </w:rPr>
        <w:t>，使用非正版产品引起的故障，使用非正版产品引起的故障</w:t>
      </w:r>
      <w:r>
        <w:rPr>
          <w:rFonts w:hint="eastAsia" w:ascii="仿宋" w:hAnsi="仿宋" w:cs="仿宋"/>
        </w:rPr>
        <w:t>。</w:t>
      </w:r>
    </w:p>
    <w:p w14:paraId="331FE468">
      <w:pPr>
        <w:pStyle w:val="18"/>
        <w:numPr>
          <w:ilvl w:val="0"/>
          <w:numId w:val="9"/>
        </w:numPr>
        <w:adjustRightInd w:val="0"/>
        <w:snapToGrid w:val="0"/>
        <w:spacing w:line="360" w:lineRule="auto"/>
        <w:ind w:left="482" w:firstLineChars="0"/>
        <w:jc w:val="left"/>
        <w:rPr>
          <w:rFonts w:hint="eastAsia" w:ascii="仿宋" w:hAnsi="仿宋" w:cs="仿宋"/>
        </w:rPr>
      </w:pPr>
      <w:r>
        <w:rPr>
          <w:rFonts w:hint="eastAsia" w:ascii="仿宋" w:hAnsi="仿宋" w:cs="仿宋"/>
        </w:rPr>
        <w:t>属不可抗力因素（如：火灾、水灾、地震、雷击、战争等）造成的损坏。</w:t>
      </w:r>
    </w:p>
    <w:p w14:paraId="2B1945E0">
      <w:pPr>
        <w:pStyle w:val="18"/>
        <w:numPr>
          <w:ilvl w:val="0"/>
          <w:numId w:val="9"/>
        </w:numPr>
        <w:adjustRightInd w:val="0"/>
        <w:snapToGrid w:val="0"/>
        <w:spacing w:line="360" w:lineRule="auto"/>
        <w:ind w:left="482" w:firstLineChars="0"/>
        <w:jc w:val="left"/>
        <w:rPr>
          <w:rFonts w:hint="eastAsia" w:ascii="仿宋" w:hAnsi="仿宋" w:cs="仿宋"/>
        </w:rPr>
      </w:pPr>
      <w:r>
        <w:rPr>
          <w:rFonts w:hint="eastAsia" w:ascii="仿宋" w:hAnsi="仿宋" w:cs="仿宋"/>
        </w:rPr>
        <w:t>非乙方产品，包括但不限于按甲方要求安装到乙方设备上的部件、软件，第三方操作系统等。亦不对存储在乙方产品中或以其它形式与产品相关的甲方数据提供保证。</w:t>
      </w:r>
    </w:p>
    <w:p w14:paraId="23DF1500">
      <w:pPr>
        <w:pStyle w:val="18"/>
        <w:numPr>
          <w:ilvl w:val="0"/>
          <w:numId w:val="9"/>
        </w:numPr>
        <w:adjustRightInd w:val="0"/>
        <w:snapToGrid w:val="0"/>
        <w:spacing w:line="360" w:lineRule="auto"/>
        <w:ind w:left="482" w:firstLineChars="0"/>
        <w:jc w:val="left"/>
        <w:rPr>
          <w:rFonts w:hint="eastAsia" w:ascii="仿宋" w:hAnsi="仿宋" w:cs="仿宋"/>
        </w:rPr>
      </w:pPr>
      <w:r>
        <w:rPr>
          <w:rFonts w:hint="eastAsia" w:ascii="仿宋" w:hAnsi="仿宋" w:cs="仿宋"/>
        </w:rPr>
        <w:t>其他非质量问题导致的产品故障。</w:t>
      </w:r>
    </w:p>
    <w:p w14:paraId="72073214">
      <w:pPr>
        <w:pStyle w:val="2"/>
      </w:pPr>
      <w:r>
        <w:rPr>
          <w:rFonts w:hint="eastAsia"/>
        </w:rPr>
        <w:t>知识产权与保密条款</w:t>
      </w:r>
    </w:p>
    <w:p w14:paraId="59568086">
      <w:pPr>
        <w:widowControl/>
        <w:numPr>
          <w:ilvl w:val="0"/>
          <w:numId w:val="10"/>
        </w:numPr>
        <w:spacing w:line="360" w:lineRule="auto"/>
        <w:jc w:val="left"/>
        <w:rPr>
          <w:rFonts w:hint="eastAsia" w:ascii="仿宋" w:hAnsi="仿宋" w:cs="仿宋"/>
          <w:b/>
          <w:bCs/>
          <w:szCs w:val="24"/>
        </w:rPr>
      </w:pPr>
      <w:r>
        <w:rPr>
          <w:rFonts w:hint="eastAsia" w:ascii="仿宋" w:hAnsi="仿宋" w:cs="仿宋"/>
          <w:b/>
          <w:bCs/>
          <w:szCs w:val="24"/>
        </w:rPr>
        <w:t>知识产权</w:t>
      </w:r>
    </w:p>
    <w:p w14:paraId="5BCBFD3D">
      <w:pPr>
        <w:spacing w:line="360" w:lineRule="auto"/>
        <w:ind w:firstLine="480" w:firstLineChars="200"/>
        <w:rPr>
          <w:rFonts w:hint="eastAsia" w:ascii="仿宋" w:hAnsi="仿宋" w:cs="仿宋"/>
          <w:szCs w:val="24"/>
        </w:rPr>
      </w:pPr>
      <w:r>
        <w:rPr>
          <w:rFonts w:hint="eastAsia" w:ascii="仿宋" w:hAnsi="仿宋" w:cs="仿宋"/>
          <w:szCs w:val="24"/>
        </w:rPr>
        <w:t>甲方在签署本协议之前已享有的数据、资料等的知识产权及相应的合法权利、乙方在签署本协议之前已所有或享有合法授权的知识产权及相应的合法权利仍归原权利人所有。此次合作过程中乙方向甲方提供的任何资料、</w:t>
      </w:r>
      <w:bookmarkStart w:id="3" w:name="_Hlk97910958"/>
      <w:r>
        <w:rPr>
          <w:rFonts w:hint="eastAsia" w:ascii="仿宋" w:hAnsi="仿宋" w:cs="仿宋"/>
          <w:szCs w:val="24"/>
        </w:rPr>
        <w:t>技术或技术支持、软件、服务及根据本合同产生的任何技术成果（包括但不限于软件产品和以此为基础研发出的其他技术成果）、方案、软件更新等的知识产权及相关所有权益均归属于乙方，除乙方明确书面授权许可外，甲方不得以任何形式将前述资料、技术成果、方案等进行转许可、转让、出售或用于本协议合作项目外的任何目的。</w:t>
      </w:r>
    </w:p>
    <w:bookmarkEnd w:id="3"/>
    <w:p w14:paraId="42171B17">
      <w:pPr>
        <w:widowControl/>
        <w:numPr>
          <w:ilvl w:val="0"/>
          <w:numId w:val="10"/>
        </w:numPr>
        <w:spacing w:line="360" w:lineRule="auto"/>
        <w:jc w:val="left"/>
        <w:rPr>
          <w:rFonts w:hint="eastAsia" w:ascii="仿宋" w:hAnsi="仿宋" w:cs="仿宋"/>
          <w:b/>
          <w:bCs/>
          <w:szCs w:val="24"/>
        </w:rPr>
      </w:pPr>
      <w:r>
        <w:rPr>
          <w:rFonts w:hint="eastAsia" w:ascii="仿宋" w:hAnsi="仿宋" w:cs="仿宋"/>
          <w:b/>
          <w:bCs/>
          <w:szCs w:val="24"/>
        </w:rPr>
        <w:t>保密条款</w:t>
      </w:r>
    </w:p>
    <w:p w14:paraId="6FF804A9">
      <w:pPr>
        <w:spacing w:line="360" w:lineRule="auto"/>
        <w:ind w:firstLine="480" w:firstLineChars="200"/>
        <w:rPr>
          <w:rFonts w:hint="eastAsia" w:ascii="仿宋" w:hAnsi="仿宋" w:cs="仿宋"/>
          <w:szCs w:val="24"/>
        </w:rPr>
      </w:pPr>
      <w:r>
        <w:rPr>
          <w:rFonts w:hint="eastAsia" w:ascii="仿宋" w:hAnsi="仿宋" w:cs="仿宋"/>
          <w:szCs w:val="24"/>
        </w:rPr>
        <w:t>任何一方应对在本合同执行过程中知悉的</w:t>
      </w:r>
      <w:r>
        <w:rPr>
          <w:rFonts w:ascii="仿宋" w:hAnsi="仿宋" w:cs="仿宋"/>
          <w:szCs w:val="24"/>
        </w:rPr>
        <w:t>对</w:t>
      </w:r>
      <w:r>
        <w:rPr>
          <w:rFonts w:hint="eastAsia" w:ascii="仿宋" w:hAnsi="仿宋" w:cs="仿宋"/>
          <w:szCs w:val="24"/>
        </w:rPr>
        <w:t>方的有关商业信息、企业数据、设计文件及图纸、软件程序、源代码文件以及披露方要求保密的其他商业秘密严格保密，并采取相应的保密措施，</w:t>
      </w:r>
      <w:r>
        <w:rPr>
          <w:rFonts w:ascii="仿宋" w:hAnsi="仿宋" w:cs="仿宋"/>
          <w:szCs w:val="24"/>
        </w:rPr>
        <w:t>不得</w:t>
      </w:r>
      <w:r>
        <w:rPr>
          <w:rFonts w:hint="eastAsia" w:ascii="仿宋" w:hAnsi="仿宋" w:cs="仿宋"/>
          <w:szCs w:val="24"/>
        </w:rPr>
        <w:t>向本合同外的第三方泄露或擅自使用。</w:t>
      </w:r>
    </w:p>
    <w:p w14:paraId="4A0AD0EC">
      <w:pPr>
        <w:pStyle w:val="2"/>
      </w:pPr>
      <w:r>
        <w:rPr>
          <w:rFonts w:hint="eastAsia"/>
        </w:rPr>
        <w:t>违约责任</w:t>
      </w:r>
    </w:p>
    <w:p w14:paraId="5FB688EA">
      <w:pPr>
        <w:widowControl/>
        <w:numPr>
          <w:ilvl w:val="0"/>
          <w:numId w:val="11"/>
        </w:numPr>
        <w:spacing w:line="360" w:lineRule="auto"/>
        <w:ind w:firstLine="480" w:firstLineChars="200"/>
        <w:jc w:val="left"/>
        <w:rPr>
          <w:rFonts w:hint="eastAsia" w:ascii="仿宋" w:hAnsi="仿宋" w:cs="仿宋"/>
          <w:szCs w:val="24"/>
        </w:rPr>
      </w:pPr>
      <w:r>
        <w:rPr>
          <w:rFonts w:hint="eastAsia" w:ascii="仿宋" w:hAnsi="仿宋" w:cs="仿宋"/>
          <w:szCs w:val="24"/>
        </w:rPr>
        <w:t>甲方逾期付款的</w:t>
      </w:r>
      <w:r>
        <w:rPr>
          <w:rFonts w:ascii="仿宋" w:hAnsi="仿宋" w:cs="仿宋"/>
          <w:szCs w:val="24"/>
        </w:rPr>
        <w:t>，</w:t>
      </w:r>
      <w:r>
        <w:rPr>
          <w:rFonts w:hint="eastAsia" w:ascii="仿宋" w:hAnsi="仿宋" w:cs="仿宋"/>
          <w:szCs w:val="24"/>
        </w:rPr>
        <w:t>乙方有权暂停服务直至甲方付清到期款项，同时，每逾期一天，甲方应按逾期金额的【</w:t>
      </w:r>
      <w:r>
        <w:rPr>
          <w:rFonts w:ascii="仿宋" w:hAnsi="仿宋" w:cs="仿宋"/>
          <w:szCs w:val="24"/>
        </w:rPr>
        <w:t>0.5</w:t>
      </w:r>
      <w:r>
        <w:rPr>
          <w:rFonts w:hint="eastAsia" w:ascii="仿宋" w:hAnsi="仿宋" w:cs="仿宋"/>
          <w:szCs w:val="24"/>
        </w:rPr>
        <w:t>‰】向乙方支付违约金。逾期付款超过</w:t>
      </w:r>
      <w:r>
        <w:rPr>
          <w:rFonts w:ascii="仿宋" w:hAnsi="仿宋" w:cs="仿宋"/>
          <w:szCs w:val="24"/>
        </w:rPr>
        <w:t>3</w:t>
      </w:r>
      <w:r>
        <w:rPr>
          <w:rFonts w:hint="eastAsia" w:ascii="仿宋" w:hAnsi="仿宋" w:cs="仿宋"/>
          <w:szCs w:val="24"/>
        </w:rPr>
        <w:t>0天，乙方有权暂停服务、终止合同，</w:t>
      </w:r>
      <w:bookmarkStart w:id="4" w:name="_Hlk97907151"/>
      <w:r>
        <w:rPr>
          <w:rFonts w:hint="eastAsia" w:ascii="仿宋" w:hAnsi="仿宋" w:cs="仿宋"/>
          <w:szCs w:val="24"/>
        </w:rPr>
        <w:t>同时甲方仍应向乙方承担违约责任及赔偿乙方的直接实际损失</w:t>
      </w:r>
      <w:bookmarkEnd w:id="4"/>
      <w:r>
        <w:rPr>
          <w:rFonts w:hint="eastAsia" w:ascii="仿宋" w:hAnsi="仿宋" w:cs="仿宋"/>
          <w:szCs w:val="24"/>
        </w:rPr>
        <w:t>。</w:t>
      </w:r>
    </w:p>
    <w:p w14:paraId="3997FD28">
      <w:pPr>
        <w:widowControl/>
        <w:numPr>
          <w:ilvl w:val="0"/>
          <w:numId w:val="11"/>
        </w:numPr>
        <w:spacing w:line="360" w:lineRule="auto"/>
        <w:ind w:firstLine="480" w:firstLineChars="200"/>
        <w:jc w:val="left"/>
        <w:rPr>
          <w:rFonts w:hint="eastAsia" w:ascii="仿宋" w:hAnsi="仿宋" w:cs="仿宋"/>
          <w:szCs w:val="24"/>
        </w:rPr>
      </w:pPr>
      <w:r>
        <w:rPr>
          <w:rFonts w:hint="eastAsia" w:ascii="仿宋" w:hAnsi="仿宋" w:cs="仿宋"/>
          <w:szCs w:val="24"/>
        </w:rPr>
        <w:t>乙方逾期交货的或验收不合格导致的迟延交货，每逾期一天，应按预付货款的【</w:t>
      </w:r>
      <w:r>
        <w:rPr>
          <w:rFonts w:ascii="仿宋" w:hAnsi="仿宋" w:cs="仿宋"/>
          <w:szCs w:val="24"/>
        </w:rPr>
        <w:t>0.5</w:t>
      </w:r>
      <w:r>
        <w:rPr>
          <w:rFonts w:hint="eastAsia" w:ascii="仿宋" w:hAnsi="仿宋" w:cs="仿宋"/>
          <w:szCs w:val="24"/>
        </w:rPr>
        <w:t>‰】向甲方支付违约金。逾期交付超过30天，甲方有权解除本合同，乙方应退还甲方已支付的款项，并赔偿因此给</w:t>
      </w:r>
      <w:r>
        <w:rPr>
          <w:rFonts w:hint="eastAsia" w:ascii="仿宋" w:hAnsi="仿宋" w:cs="仿宋"/>
          <w:szCs w:val="24"/>
          <w:lang w:val="en-US" w:eastAsia="zh-CN"/>
        </w:rPr>
        <w:t>甲</w:t>
      </w:r>
      <w:r>
        <w:rPr>
          <w:rFonts w:hint="eastAsia" w:ascii="仿宋" w:hAnsi="仿宋" w:cs="仿宋"/>
          <w:szCs w:val="24"/>
        </w:rPr>
        <w:t>方造成的直接实际损失。</w:t>
      </w:r>
    </w:p>
    <w:p w14:paraId="09CECDC2">
      <w:pPr>
        <w:widowControl/>
        <w:numPr>
          <w:ilvl w:val="0"/>
          <w:numId w:val="11"/>
        </w:numPr>
        <w:spacing w:line="360" w:lineRule="auto"/>
        <w:ind w:firstLine="480" w:firstLineChars="200"/>
        <w:jc w:val="left"/>
        <w:rPr>
          <w:rFonts w:hint="eastAsia" w:ascii="仿宋" w:hAnsi="仿宋" w:cs="仿宋"/>
          <w:szCs w:val="24"/>
        </w:rPr>
      </w:pPr>
      <w:r>
        <w:rPr>
          <w:rFonts w:hint="eastAsia" w:ascii="仿宋" w:hAnsi="仿宋" w:cs="仿宋"/>
          <w:szCs w:val="24"/>
        </w:rPr>
        <w:t>甲方应积极配合乙方推动项目进程，如因甲方原因造成交付逾期或项目停滞，乙方对此不承担责任，由此导致工期延长、费用增加及其他损失的，均由甲方承担。</w:t>
      </w:r>
    </w:p>
    <w:p w14:paraId="13AB3796">
      <w:pPr>
        <w:widowControl/>
        <w:numPr>
          <w:ilvl w:val="0"/>
          <w:numId w:val="11"/>
        </w:numPr>
        <w:spacing w:line="360" w:lineRule="auto"/>
        <w:ind w:firstLine="480" w:firstLineChars="200"/>
        <w:jc w:val="left"/>
        <w:rPr>
          <w:rFonts w:hint="eastAsia" w:ascii="仿宋" w:hAnsi="仿宋" w:cs="仿宋"/>
          <w:szCs w:val="24"/>
        </w:rPr>
      </w:pPr>
      <w:r>
        <w:rPr>
          <w:rFonts w:hint="eastAsia" w:ascii="仿宋" w:hAnsi="仿宋" w:cs="仿宋"/>
          <w:szCs w:val="24"/>
        </w:rPr>
        <w:t>双方如有违反第十一条，十三条行为的，一经查实，守约方有权单方解除本合同，违约方应赔偿守约方合同约定总金额30%的违约金，违约金不足以弥补守约方实际遭受的所有损失的，违约方应予以补足。</w:t>
      </w:r>
    </w:p>
    <w:p w14:paraId="39087D87">
      <w:pPr>
        <w:widowControl/>
        <w:numPr>
          <w:ilvl w:val="0"/>
          <w:numId w:val="11"/>
        </w:numPr>
        <w:spacing w:line="360" w:lineRule="auto"/>
        <w:ind w:firstLine="480" w:firstLineChars="0"/>
        <w:jc w:val="left"/>
        <w:rPr>
          <w:rFonts w:hint="eastAsia" w:ascii="仿宋" w:hAnsi="仿宋" w:cs="仿宋"/>
          <w:szCs w:val="24"/>
        </w:rPr>
      </w:pPr>
      <w:r>
        <w:rPr>
          <w:rFonts w:hint="eastAsia" w:ascii="仿宋" w:hAnsi="仿宋" w:cs="仿宋"/>
          <w:szCs w:val="24"/>
        </w:rPr>
        <w:t>除本合同另有约定外，任何一方直接或间接违反本合同的任何条款，或不承担或不及时、充分地承担本合同项下其应承担的义务即构成违约，守约方有权以书面通知要求违约方纠正其违约行为并采取充分、有效、及时的措施消除违约后果，并赔偿守约方因违约方之违约行为而遭致的损失。若违约方在收到守约方关于其违约行为的上述通知后10日内未纠正其违约行为，守约方有权以书面通知的方式单方提前终止本合同，要求违约方赔偿守约方实际遭受的所有损失。</w:t>
      </w:r>
    </w:p>
    <w:p w14:paraId="6844D171">
      <w:pPr>
        <w:pStyle w:val="2"/>
      </w:pPr>
      <w:r>
        <w:rPr>
          <w:rFonts w:hint="eastAsia"/>
        </w:rPr>
        <w:t>限制规定及免责条款</w:t>
      </w:r>
    </w:p>
    <w:p w14:paraId="19494DA7">
      <w:pPr>
        <w:pStyle w:val="10"/>
        <w:numPr>
          <w:ilvl w:val="0"/>
          <w:numId w:val="12"/>
        </w:numPr>
        <w:spacing w:before="0" w:beforeAutospacing="0" w:after="0" w:afterAutospacing="0" w:line="360" w:lineRule="auto"/>
        <w:ind w:firstLine="480"/>
        <w:rPr>
          <w:rFonts w:hint="eastAsia" w:ascii="仿宋" w:hAnsi="仿宋" w:eastAsia="仿宋" w:cs="仿宋"/>
          <w:szCs w:val="24"/>
        </w:rPr>
      </w:pPr>
      <w:r>
        <w:rPr>
          <w:rFonts w:hint="eastAsia" w:ascii="仿宋" w:hAnsi="仿宋" w:eastAsia="仿宋" w:cs="仿宋"/>
          <w:szCs w:val="24"/>
        </w:rPr>
        <w:t>未经乙方事先书面许可，甲方不得对产品实施以下行为：</w:t>
      </w:r>
    </w:p>
    <w:p w14:paraId="59255D46">
      <w:pPr>
        <w:pStyle w:val="18"/>
        <w:numPr>
          <w:ilvl w:val="0"/>
          <w:numId w:val="13"/>
        </w:numPr>
        <w:spacing w:line="360" w:lineRule="auto"/>
        <w:ind w:firstLineChars="0"/>
        <w:rPr>
          <w:rFonts w:hint="eastAsia" w:ascii="仿宋" w:hAnsi="仿宋" w:cs="仿宋"/>
          <w:szCs w:val="24"/>
        </w:rPr>
      </w:pPr>
      <w:r>
        <w:rPr>
          <w:rFonts w:hint="eastAsia" w:ascii="仿宋" w:hAnsi="仿宋" w:cs="仿宋"/>
          <w:szCs w:val="24"/>
        </w:rPr>
        <w:t>对产品软件部分进行全部或部分地翻译、分解、反向编译、反汇编、反向工程或其他试图从产品中导出程序源代码的行为，或在本产品的基础上书写或开发衍生软件、衍生产品或其他软件。</w:t>
      </w:r>
    </w:p>
    <w:p w14:paraId="6F86756C">
      <w:pPr>
        <w:pStyle w:val="18"/>
        <w:numPr>
          <w:ilvl w:val="0"/>
          <w:numId w:val="13"/>
        </w:numPr>
        <w:spacing w:line="360" w:lineRule="auto"/>
        <w:ind w:firstLineChars="0"/>
        <w:rPr>
          <w:rFonts w:hint="eastAsia" w:ascii="仿宋" w:hAnsi="仿宋" w:cs="仿宋"/>
          <w:szCs w:val="24"/>
        </w:rPr>
      </w:pPr>
      <w:r>
        <w:rPr>
          <w:rFonts w:hint="eastAsia" w:ascii="仿宋" w:hAnsi="仿宋" w:cs="仿宋"/>
          <w:szCs w:val="24"/>
        </w:rPr>
        <w:t>限制、破坏或绕过产品中软件附带的加密附件。</w:t>
      </w:r>
    </w:p>
    <w:p w14:paraId="1AF1C27F">
      <w:pPr>
        <w:pStyle w:val="18"/>
        <w:numPr>
          <w:ilvl w:val="0"/>
          <w:numId w:val="13"/>
        </w:numPr>
        <w:spacing w:line="360" w:lineRule="auto"/>
        <w:ind w:firstLineChars="0"/>
        <w:rPr>
          <w:rFonts w:hint="eastAsia" w:ascii="仿宋" w:hAnsi="仿宋" w:cs="仿宋"/>
          <w:szCs w:val="24"/>
        </w:rPr>
      </w:pPr>
      <w:r>
        <w:rPr>
          <w:rFonts w:hint="eastAsia" w:ascii="仿宋" w:hAnsi="仿宋" w:cs="仿宋"/>
          <w:szCs w:val="24"/>
        </w:rPr>
        <w:t>将产品用于除甲方内部使用以外的其他目的，包括但不限于向第三方提供数据处理服务、应用服务、商业共享或其他软件共享安排。</w:t>
      </w:r>
    </w:p>
    <w:p w14:paraId="70CCE270">
      <w:pPr>
        <w:pStyle w:val="10"/>
        <w:numPr>
          <w:ilvl w:val="0"/>
          <w:numId w:val="12"/>
        </w:numPr>
        <w:spacing w:before="0" w:beforeAutospacing="0" w:after="0" w:afterAutospacing="0" w:line="360" w:lineRule="auto"/>
        <w:ind w:firstLine="480"/>
        <w:rPr>
          <w:rFonts w:hint="eastAsia" w:ascii="仿宋" w:hAnsi="仿宋" w:eastAsia="仿宋" w:cs="仿宋"/>
          <w:szCs w:val="24"/>
        </w:rPr>
      </w:pPr>
      <w:r>
        <w:rPr>
          <w:rFonts w:hint="eastAsia" w:ascii="仿宋" w:hAnsi="仿宋" w:eastAsia="仿宋" w:cs="仿宋"/>
          <w:szCs w:val="24"/>
        </w:rPr>
        <w:t>乙方对甲方因产品被误用或被擅自修改、计算机设备故障、操作失误等情况造成的损失不负责任。</w:t>
      </w:r>
    </w:p>
    <w:p w14:paraId="6A5FFEC8">
      <w:pPr>
        <w:pStyle w:val="2"/>
      </w:pPr>
      <w:r>
        <w:rPr>
          <w:rFonts w:hint="eastAsia"/>
        </w:rPr>
        <w:t>不可抗力</w:t>
      </w:r>
    </w:p>
    <w:p w14:paraId="4D1CFB45">
      <w:pPr>
        <w:widowControl/>
        <w:numPr>
          <w:ilvl w:val="0"/>
          <w:numId w:val="14"/>
        </w:numPr>
        <w:spacing w:line="360" w:lineRule="auto"/>
        <w:ind w:firstLine="480" w:firstLineChars="200"/>
        <w:jc w:val="left"/>
        <w:rPr>
          <w:rFonts w:hint="eastAsia" w:ascii="仿宋" w:hAnsi="仿宋" w:cs="仿宋"/>
          <w:szCs w:val="24"/>
        </w:rPr>
      </w:pPr>
      <w:r>
        <w:rPr>
          <w:rFonts w:hint="eastAsia" w:ascii="仿宋" w:hAnsi="仿宋" w:cs="仿宋"/>
          <w:szCs w:val="24"/>
        </w:rPr>
        <w:t>出现不可抗力事件时，受不可抗力影响的一方应及时、充分地向对方以书面形式发通知，并告知对方该类事件对本协议可能产生的影响，并应当在合理期限内提供相关证明。</w:t>
      </w:r>
    </w:p>
    <w:p w14:paraId="2BA3AC2E">
      <w:pPr>
        <w:widowControl/>
        <w:numPr>
          <w:ilvl w:val="0"/>
          <w:numId w:val="14"/>
        </w:numPr>
        <w:spacing w:line="360" w:lineRule="auto"/>
        <w:ind w:firstLine="480" w:firstLineChars="200"/>
        <w:jc w:val="left"/>
        <w:rPr>
          <w:rFonts w:hint="eastAsia" w:ascii="仿宋" w:hAnsi="仿宋" w:cs="仿宋"/>
          <w:szCs w:val="24"/>
        </w:rPr>
      </w:pPr>
      <w:r>
        <w:rPr>
          <w:rFonts w:hint="eastAsia" w:ascii="仿宋" w:hAnsi="仿宋" w:cs="仿宋"/>
          <w:szCs w:val="24"/>
        </w:rPr>
        <w:t>出现不可抗力事件后，受不可抗力影响的一方应当尽其合理努力尽早消除不可抗力事件产生的影响，采取必要合理措施减少不可抗力事件可能为履行本协议造成的消极负面影响。</w:t>
      </w:r>
    </w:p>
    <w:p w14:paraId="0D46C646">
      <w:pPr>
        <w:widowControl/>
        <w:numPr>
          <w:ilvl w:val="0"/>
          <w:numId w:val="14"/>
        </w:numPr>
        <w:spacing w:line="360" w:lineRule="auto"/>
        <w:ind w:firstLine="480" w:firstLineChars="200"/>
        <w:jc w:val="left"/>
        <w:rPr>
          <w:rFonts w:hint="eastAsia" w:ascii="仿宋" w:hAnsi="仿宋" w:cs="仿宋"/>
          <w:szCs w:val="24"/>
        </w:rPr>
      </w:pPr>
      <w:r>
        <w:rPr>
          <w:rFonts w:hint="eastAsia" w:ascii="仿宋" w:hAnsi="仿宋" w:cs="仿宋"/>
          <w:szCs w:val="24"/>
        </w:rPr>
        <w:t>由于以上所述不可抗力事件致使协议的部分或全部不能履行或延迟履行，则甲乙双方于彼此间不承担任何违约责任，但是因受不可抗力影响的一方消极应对不可抗力事件而导致对方因此遭受额外损失的部分除外。</w:t>
      </w:r>
    </w:p>
    <w:p w14:paraId="63CED6E7">
      <w:pPr>
        <w:pStyle w:val="2"/>
      </w:pPr>
      <w:r>
        <w:rPr>
          <w:rFonts w:hint="eastAsia"/>
        </w:rPr>
        <w:t>管辖法律与争议解决</w:t>
      </w:r>
    </w:p>
    <w:p w14:paraId="4341CE28">
      <w:pPr>
        <w:widowControl/>
        <w:numPr>
          <w:ilvl w:val="0"/>
          <w:numId w:val="15"/>
        </w:numPr>
        <w:spacing w:line="360" w:lineRule="auto"/>
        <w:ind w:firstLine="480" w:firstLineChars="200"/>
        <w:jc w:val="left"/>
        <w:rPr>
          <w:rFonts w:hint="eastAsia" w:ascii="仿宋" w:hAnsi="仿宋" w:cs="仿宋"/>
          <w:szCs w:val="24"/>
        </w:rPr>
      </w:pPr>
      <w:r>
        <w:rPr>
          <w:rFonts w:hint="eastAsia" w:ascii="仿宋" w:hAnsi="仿宋" w:cs="仿宋"/>
          <w:szCs w:val="24"/>
        </w:rPr>
        <w:t>本协议的订立、效力、解释、履行、修改和终止以及争议的解决均适用于中华人民共和国的相关法律和法规。</w:t>
      </w:r>
    </w:p>
    <w:p w14:paraId="0528181A">
      <w:pPr>
        <w:widowControl/>
        <w:numPr>
          <w:ilvl w:val="0"/>
          <w:numId w:val="15"/>
        </w:numPr>
        <w:spacing w:line="360" w:lineRule="auto"/>
        <w:ind w:firstLine="480" w:firstLineChars="200"/>
        <w:jc w:val="left"/>
        <w:rPr>
          <w:rFonts w:hint="eastAsia" w:ascii="仿宋" w:hAnsi="仿宋" w:cs="仿宋"/>
          <w:szCs w:val="24"/>
        </w:rPr>
      </w:pPr>
      <w:r>
        <w:rPr>
          <w:rFonts w:hint="eastAsia" w:ascii="仿宋" w:hAnsi="仿宋" w:cs="仿宋"/>
          <w:szCs w:val="24"/>
        </w:rPr>
        <w:t>凡有关执行本协议而发生的一切争执、异议和矛盾，双方应通过友好协商解决。若不能协商达成一致，则应将争议提交至</w:t>
      </w:r>
      <w:r>
        <w:rPr>
          <w:rFonts w:hint="eastAsia" w:ascii="仿宋" w:hAnsi="仿宋" w:cs="仿宋"/>
          <w:szCs w:val="24"/>
          <w:lang w:val="en-US" w:eastAsia="zh-CN"/>
        </w:rPr>
        <w:t>原告</w:t>
      </w:r>
      <w:r>
        <w:rPr>
          <w:rFonts w:hint="eastAsia" w:ascii="仿宋" w:hAnsi="仿宋" w:cs="仿宋"/>
          <w:szCs w:val="24"/>
        </w:rPr>
        <w:t>方所在地诉讼解决。</w:t>
      </w:r>
    </w:p>
    <w:p w14:paraId="6271B276">
      <w:pPr>
        <w:pStyle w:val="2"/>
      </w:pPr>
      <w:r>
        <w:rPr>
          <w:rFonts w:hint="eastAsia"/>
        </w:rPr>
        <w:t>协议其他附则</w:t>
      </w:r>
    </w:p>
    <w:p w14:paraId="0CEA7C09">
      <w:pPr>
        <w:widowControl/>
        <w:numPr>
          <w:ilvl w:val="0"/>
          <w:numId w:val="16"/>
        </w:numPr>
        <w:spacing w:line="360" w:lineRule="auto"/>
        <w:ind w:firstLine="480" w:firstLineChars="200"/>
        <w:jc w:val="left"/>
        <w:rPr>
          <w:rFonts w:hint="eastAsia" w:ascii="仿宋" w:hAnsi="仿宋" w:cs="仿宋"/>
          <w:szCs w:val="24"/>
        </w:rPr>
      </w:pPr>
      <w:r>
        <w:rPr>
          <w:rFonts w:hint="eastAsia" w:ascii="仿宋" w:hAnsi="仿宋" w:cs="仿宋"/>
          <w:szCs w:val="24"/>
        </w:rPr>
        <w:t>本协议包含各方就协议标的所达成的全部约定及谅解。各方在此之前所达成的所有口头或书面协议、声明、陈述、谅解、谈判及讨论如与本合同冲突时，以本合同约定为准。</w:t>
      </w:r>
    </w:p>
    <w:p w14:paraId="2A78A0FA">
      <w:pPr>
        <w:widowControl/>
        <w:numPr>
          <w:ilvl w:val="0"/>
          <w:numId w:val="16"/>
        </w:numPr>
        <w:spacing w:line="360" w:lineRule="auto"/>
        <w:ind w:firstLine="480" w:firstLineChars="200"/>
        <w:jc w:val="left"/>
        <w:rPr>
          <w:rFonts w:hint="eastAsia" w:ascii="仿宋" w:hAnsi="仿宋" w:cs="仿宋"/>
          <w:szCs w:val="24"/>
        </w:rPr>
      </w:pPr>
      <w:r>
        <w:rPr>
          <w:rFonts w:hint="eastAsia" w:ascii="仿宋" w:hAnsi="仿宋" w:cs="仿宋"/>
          <w:szCs w:val="24"/>
        </w:rPr>
        <w:t>如果本协议中的任何条款无论因何种原因完全或部分无效或不具有执行力，或违反任何适用的法律，则该条款被视为删除，但本协议的其余条款仍应有效并且有约束力。</w:t>
      </w:r>
    </w:p>
    <w:p w14:paraId="5829CC52">
      <w:pPr>
        <w:widowControl/>
        <w:numPr>
          <w:ilvl w:val="0"/>
          <w:numId w:val="16"/>
        </w:numPr>
        <w:spacing w:line="360" w:lineRule="auto"/>
        <w:ind w:firstLine="480" w:firstLineChars="200"/>
        <w:jc w:val="left"/>
        <w:rPr>
          <w:rFonts w:hint="eastAsia" w:ascii="仿宋" w:hAnsi="仿宋" w:cs="仿宋"/>
          <w:szCs w:val="24"/>
        </w:rPr>
      </w:pPr>
      <w:r>
        <w:rPr>
          <w:rFonts w:hint="eastAsia" w:ascii="仿宋" w:hAnsi="仿宋" w:cs="仿宋"/>
          <w:szCs w:val="24"/>
        </w:rPr>
        <w:t>本协议未尽事宜由甲乙双方友好协商后，以补充协议的形式确定。本协议的注解、附件、补充协议均为本协议组成部分，与本协议具有同等法律效力。</w:t>
      </w:r>
    </w:p>
    <w:p w14:paraId="37B9B85A">
      <w:pPr>
        <w:widowControl/>
        <w:numPr>
          <w:ilvl w:val="0"/>
          <w:numId w:val="16"/>
        </w:numPr>
        <w:spacing w:line="360" w:lineRule="auto"/>
        <w:ind w:firstLine="480" w:firstLineChars="200"/>
        <w:jc w:val="left"/>
        <w:rPr>
          <w:rFonts w:hint="eastAsia" w:ascii="仿宋" w:hAnsi="仿宋" w:cs="仿宋"/>
          <w:szCs w:val="24"/>
        </w:rPr>
      </w:pPr>
      <w:r>
        <w:rPr>
          <w:rFonts w:hint="eastAsia" w:ascii="仿宋" w:hAnsi="仿宋" w:cs="仿宋"/>
          <w:szCs w:val="24"/>
        </w:rPr>
        <w:t>本协议由双方盖章方为有效。本协议一式贰份，双方各执壹份，均具有同等法律效力。</w:t>
      </w:r>
    </w:p>
    <w:p w14:paraId="3DE81DF8">
      <w:pPr>
        <w:adjustRightInd w:val="0"/>
        <w:snapToGrid w:val="0"/>
        <w:spacing w:line="312" w:lineRule="auto"/>
        <w:ind w:left="700" w:firstLine="482"/>
        <w:rPr>
          <w:rFonts w:hint="eastAsia" w:ascii="仿宋" w:hAnsi="仿宋"/>
          <w:b/>
          <w:szCs w:val="28"/>
        </w:rPr>
      </w:pPr>
    </w:p>
    <w:p w14:paraId="50DA4AB0">
      <w:pPr>
        <w:adjustRightInd w:val="0"/>
        <w:snapToGrid w:val="0"/>
        <w:spacing w:line="360" w:lineRule="auto"/>
        <w:ind w:firstLine="482" w:firstLineChars="200"/>
        <w:rPr>
          <w:rFonts w:hint="eastAsia" w:ascii="仿宋" w:hAnsi="仿宋"/>
          <w:b/>
          <w:szCs w:val="28"/>
        </w:rPr>
      </w:pPr>
      <w:r>
        <w:rPr>
          <w:rFonts w:hint="eastAsia" w:ascii="仿宋" w:hAnsi="仿宋"/>
          <w:b/>
          <w:szCs w:val="28"/>
        </w:rPr>
        <w:t>（以下无正文）</w:t>
      </w:r>
    </w:p>
    <w:p w14:paraId="784E1703">
      <w:pPr>
        <w:adjustRightInd w:val="0"/>
        <w:snapToGrid w:val="0"/>
        <w:spacing w:line="312" w:lineRule="auto"/>
        <w:ind w:left="700" w:firstLine="522"/>
        <w:rPr>
          <w:rFonts w:hint="eastAsia" w:ascii="仿宋" w:hAnsi="仿宋" w:cstheme="minorHAnsi"/>
          <w:b/>
          <w:sz w:val="26"/>
          <w:szCs w:val="26"/>
        </w:rPr>
      </w:pPr>
    </w:p>
    <w:p w14:paraId="743FA409">
      <w:pPr>
        <w:adjustRightInd w:val="0"/>
        <w:snapToGrid w:val="0"/>
        <w:spacing w:line="312" w:lineRule="auto"/>
        <w:ind w:left="700" w:firstLine="522"/>
        <w:rPr>
          <w:rFonts w:hint="eastAsia" w:ascii="仿宋" w:hAnsi="仿宋" w:cstheme="minorHAnsi"/>
          <w:b/>
          <w:sz w:val="26"/>
          <w:szCs w:val="26"/>
        </w:rPr>
      </w:pPr>
    </w:p>
    <w:p w14:paraId="03224352">
      <w:pPr>
        <w:adjustRightInd w:val="0"/>
        <w:snapToGrid w:val="0"/>
        <w:spacing w:line="312" w:lineRule="auto"/>
        <w:ind w:left="700" w:firstLine="522"/>
        <w:rPr>
          <w:rFonts w:hint="eastAsia" w:ascii="仿宋" w:hAnsi="仿宋" w:cstheme="minorHAnsi"/>
          <w:b/>
          <w:sz w:val="26"/>
          <w:szCs w:val="26"/>
        </w:rPr>
      </w:pPr>
    </w:p>
    <w:tbl>
      <w:tblPr>
        <w:tblStyle w:val="13"/>
        <w:tblW w:w="9645" w:type="dxa"/>
        <w:tblInd w:w="-28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28" w:type="dxa"/>
          <w:bottom w:w="0" w:type="dxa"/>
          <w:right w:w="28" w:type="dxa"/>
        </w:tblCellMar>
      </w:tblPr>
      <w:tblGrid>
        <w:gridCol w:w="1418"/>
        <w:gridCol w:w="3310"/>
        <w:gridCol w:w="1368"/>
        <w:gridCol w:w="3549"/>
      </w:tblGrid>
      <w:tr w14:paraId="15874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1020" w:hRule="atLeast"/>
        </w:trPr>
        <w:tc>
          <w:tcPr>
            <w:tcW w:w="1418" w:type="dxa"/>
            <w:vAlign w:val="center"/>
          </w:tcPr>
          <w:p w14:paraId="5B779634">
            <w:pPr>
              <w:adjustRightInd w:val="0"/>
              <w:snapToGrid w:val="0"/>
              <w:spacing w:line="312" w:lineRule="auto"/>
              <w:rPr>
                <w:rFonts w:hint="eastAsia" w:ascii="仿宋" w:hAnsi="仿宋" w:cstheme="minorHAnsi"/>
                <w:b/>
                <w:szCs w:val="24"/>
              </w:rPr>
            </w:pPr>
            <w:r>
              <w:rPr>
                <w:rFonts w:hint="eastAsia" w:ascii="仿宋" w:hAnsi="仿宋" w:cstheme="minorHAnsi"/>
                <w:b/>
                <w:szCs w:val="24"/>
              </w:rPr>
              <w:t>甲方（盖章）</w:t>
            </w:r>
          </w:p>
        </w:tc>
        <w:tc>
          <w:tcPr>
            <w:tcW w:w="3310" w:type="dxa"/>
            <w:vAlign w:val="center"/>
          </w:tcPr>
          <w:p w14:paraId="287E89AE">
            <w:pPr>
              <w:adjustRightInd w:val="0"/>
              <w:snapToGrid w:val="0"/>
              <w:spacing w:line="312" w:lineRule="auto"/>
              <w:ind w:left="-3" w:leftChars="-10" w:hanging="21" w:hangingChars="9"/>
              <w:rPr>
                <w:rFonts w:hint="eastAsia" w:ascii="仿宋" w:hAnsi="仿宋" w:cstheme="minorHAnsi"/>
                <w:bCs/>
                <w:szCs w:val="24"/>
              </w:rPr>
            </w:pPr>
            <w:r>
              <w:rPr>
                <w:rFonts w:hint="eastAsia" w:ascii="仿宋" w:hAnsi="仿宋" w:cstheme="minorHAnsi"/>
                <w:bCs/>
                <w:szCs w:val="24"/>
              </w:rPr>
              <w:t>北京中软国际教育科技股份有限公司</w:t>
            </w:r>
          </w:p>
        </w:tc>
        <w:tc>
          <w:tcPr>
            <w:tcW w:w="1368" w:type="dxa"/>
            <w:vAlign w:val="center"/>
          </w:tcPr>
          <w:p w14:paraId="22728D4D">
            <w:pPr>
              <w:adjustRightInd w:val="0"/>
              <w:snapToGrid w:val="0"/>
              <w:spacing w:line="312" w:lineRule="auto"/>
              <w:rPr>
                <w:rFonts w:hint="eastAsia" w:ascii="仿宋" w:hAnsi="仿宋" w:cstheme="minorHAnsi"/>
                <w:b/>
                <w:szCs w:val="24"/>
              </w:rPr>
            </w:pPr>
            <w:r>
              <w:rPr>
                <w:rFonts w:hint="eastAsia" w:ascii="仿宋" w:hAnsi="仿宋" w:cstheme="minorHAnsi"/>
                <w:b/>
                <w:szCs w:val="24"/>
              </w:rPr>
              <w:t>乙方（盖章）</w:t>
            </w:r>
          </w:p>
        </w:tc>
        <w:tc>
          <w:tcPr>
            <w:tcW w:w="3549" w:type="dxa"/>
            <w:vAlign w:val="center"/>
          </w:tcPr>
          <w:p w14:paraId="0114288B">
            <w:pPr>
              <w:adjustRightInd w:val="0"/>
              <w:snapToGrid w:val="0"/>
              <w:spacing w:line="312" w:lineRule="auto"/>
              <w:ind w:leftChars="-7" w:hanging="16" w:hangingChars="7"/>
              <w:rPr>
                <w:rFonts w:hint="eastAsia" w:ascii="仿宋" w:hAnsi="仿宋" w:cstheme="minorHAnsi"/>
                <w:bCs/>
                <w:szCs w:val="24"/>
              </w:rPr>
            </w:pPr>
            <w:r>
              <w:rPr>
                <w:rFonts w:hint="eastAsia" w:ascii="仿宋" w:hAnsi="仿宋" w:cstheme="minorHAnsi"/>
                <w:bCs/>
                <w:szCs w:val="24"/>
              </w:rPr>
              <w:t>深圳开鸿数字产业发展有限公司</w:t>
            </w:r>
          </w:p>
        </w:tc>
      </w:tr>
      <w:tr w14:paraId="1E3A5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1020" w:hRule="atLeast"/>
        </w:trPr>
        <w:tc>
          <w:tcPr>
            <w:tcW w:w="1418" w:type="dxa"/>
            <w:vAlign w:val="center"/>
          </w:tcPr>
          <w:p w14:paraId="7A8DC1EC">
            <w:pPr>
              <w:adjustRightInd w:val="0"/>
              <w:snapToGrid w:val="0"/>
              <w:spacing w:line="312" w:lineRule="auto"/>
              <w:rPr>
                <w:rFonts w:hint="eastAsia" w:ascii="仿宋" w:hAnsi="仿宋" w:cstheme="minorHAnsi"/>
                <w:b/>
                <w:szCs w:val="24"/>
              </w:rPr>
            </w:pPr>
            <w:r>
              <w:rPr>
                <w:rFonts w:hint="eastAsia" w:ascii="仿宋" w:hAnsi="仿宋" w:cstheme="minorHAnsi"/>
                <w:b/>
                <w:szCs w:val="24"/>
              </w:rPr>
              <w:t>签署日期</w:t>
            </w:r>
          </w:p>
        </w:tc>
        <w:tc>
          <w:tcPr>
            <w:tcW w:w="3310" w:type="dxa"/>
            <w:vAlign w:val="center"/>
          </w:tcPr>
          <w:p w14:paraId="62A41544">
            <w:pPr>
              <w:adjustRightInd w:val="0"/>
              <w:snapToGrid w:val="0"/>
              <w:spacing w:line="312" w:lineRule="auto"/>
              <w:ind w:left="-3" w:leftChars="-10" w:hanging="21" w:hangingChars="9"/>
              <w:rPr>
                <w:rFonts w:hint="eastAsia" w:ascii="仿宋" w:hAnsi="仿宋" w:cstheme="minorHAnsi"/>
                <w:bCs/>
                <w:szCs w:val="24"/>
              </w:rPr>
            </w:pPr>
            <w:r>
              <w:rPr>
                <w:rFonts w:hint="eastAsia" w:ascii="仿宋" w:hAnsi="仿宋" w:cstheme="minorHAnsi"/>
                <w:bCs/>
                <w:szCs w:val="24"/>
                <w:lang w:val="en-US" w:eastAsia="zh-CN"/>
              </w:rPr>
              <w:t xml:space="preserve">     </w:t>
            </w:r>
            <w:r>
              <w:rPr>
                <w:rFonts w:hint="eastAsia" w:ascii="仿宋" w:hAnsi="仿宋" w:cstheme="minorHAnsi"/>
                <w:bCs/>
                <w:szCs w:val="24"/>
              </w:rPr>
              <w:t>年</w:t>
            </w:r>
            <w:r>
              <w:rPr>
                <w:rFonts w:hint="eastAsia" w:ascii="仿宋" w:hAnsi="仿宋" w:cstheme="minorHAnsi"/>
                <w:bCs/>
                <w:szCs w:val="24"/>
                <w:lang w:val="en-US" w:eastAsia="zh-CN"/>
              </w:rPr>
              <w:t xml:space="preserve">    </w:t>
            </w:r>
            <w:r>
              <w:rPr>
                <w:rFonts w:hint="eastAsia" w:ascii="仿宋" w:hAnsi="仿宋" w:cstheme="minorHAnsi"/>
                <w:bCs/>
                <w:szCs w:val="24"/>
              </w:rPr>
              <w:t>月</w:t>
            </w:r>
            <w:r>
              <w:rPr>
                <w:rFonts w:hint="eastAsia" w:ascii="仿宋" w:hAnsi="仿宋" w:cstheme="minorHAnsi"/>
                <w:bCs/>
                <w:szCs w:val="24"/>
                <w:lang w:val="en-US" w:eastAsia="zh-CN"/>
              </w:rPr>
              <w:t xml:space="preserve">    </w:t>
            </w:r>
            <w:r>
              <w:rPr>
                <w:rFonts w:hint="eastAsia" w:ascii="仿宋" w:hAnsi="仿宋" w:cstheme="minorHAnsi"/>
                <w:bCs/>
                <w:szCs w:val="24"/>
              </w:rPr>
              <w:t>日</w:t>
            </w:r>
          </w:p>
        </w:tc>
        <w:tc>
          <w:tcPr>
            <w:tcW w:w="1368" w:type="dxa"/>
            <w:vAlign w:val="center"/>
          </w:tcPr>
          <w:p w14:paraId="08623C76">
            <w:pPr>
              <w:adjustRightInd w:val="0"/>
              <w:snapToGrid w:val="0"/>
              <w:spacing w:line="312" w:lineRule="auto"/>
              <w:rPr>
                <w:rFonts w:hint="eastAsia" w:ascii="仿宋" w:hAnsi="仿宋" w:cstheme="minorHAnsi"/>
                <w:b/>
                <w:szCs w:val="24"/>
              </w:rPr>
            </w:pPr>
            <w:r>
              <w:rPr>
                <w:rFonts w:hint="eastAsia" w:ascii="仿宋" w:hAnsi="仿宋" w:cstheme="minorHAnsi"/>
                <w:b/>
                <w:szCs w:val="24"/>
              </w:rPr>
              <w:t>签署日期</w:t>
            </w:r>
          </w:p>
        </w:tc>
        <w:tc>
          <w:tcPr>
            <w:tcW w:w="3549" w:type="dxa"/>
            <w:vAlign w:val="center"/>
          </w:tcPr>
          <w:p w14:paraId="25AF63A9">
            <w:pPr>
              <w:adjustRightInd w:val="0"/>
              <w:snapToGrid w:val="0"/>
              <w:spacing w:line="312" w:lineRule="auto"/>
              <w:ind w:leftChars="-7" w:hanging="16" w:hangingChars="7"/>
              <w:rPr>
                <w:rFonts w:hint="eastAsia" w:ascii="仿宋" w:hAnsi="仿宋" w:cstheme="minorHAnsi"/>
                <w:bCs/>
                <w:szCs w:val="24"/>
              </w:rPr>
            </w:pPr>
            <w:r>
              <w:rPr>
                <w:rFonts w:hint="eastAsia" w:ascii="仿宋" w:hAnsi="仿宋" w:cstheme="minorHAnsi"/>
                <w:bCs/>
                <w:szCs w:val="24"/>
                <w:lang w:val="en-US" w:eastAsia="zh-CN"/>
              </w:rPr>
              <w:t xml:space="preserve">     </w:t>
            </w:r>
            <w:r>
              <w:rPr>
                <w:rFonts w:hint="eastAsia" w:ascii="仿宋" w:hAnsi="仿宋" w:cstheme="minorHAnsi"/>
                <w:bCs/>
                <w:szCs w:val="24"/>
              </w:rPr>
              <w:t>年</w:t>
            </w:r>
            <w:r>
              <w:rPr>
                <w:rFonts w:hint="eastAsia" w:ascii="仿宋" w:hAnsi="仿宋" w:cstheme="minorHAnsi"/>
                <w:bCs/>
                <w:szCs w:val="24"/>
                <w:lang w:val="en-US" w:eastAsia="zh-CN"/>
              </w:rPr>
              <w:t xml:space="preserve">    </w:t>
            </w:r>
            <w:r>
              <w:rPr>
                <w:rFonts w:hint="eastAsia" w:ascii="仿宋" w:hAnsi="仿宋" w:cstheme="minorHAnsi"/>
                <w:bCs/>
                <w:szCs w:val="24"/>
              </w:rPr>
              <w:t>月</w:t>
            </w:r>
            <w:r>
              <w:rPr>
                <w:rFonts w:hint="eastAsia" w:ascii="仿宋" w:hAnsi="仿宋" w:cstheme="minorHAnsi"/>
                <w:bCs/>
                <w:szCs w:val="24"/>
                <w:lang w:val="en-US" w:eastAsia="zh-CN"/>
              </w:rPr>
              <w:t xml:space="preserve">    </w:t>
            </w:r>
            <w:r>
              <w:rPr>
                <w:rFonts w:hint="eastAsia" w:ascii="仿宋" w:hAnsi="仿宋" w:cstheme="minorHAnsi"/>
                <w:bCs/>
                <w:szCs w:val="24"/>
              </w:rPr>
              <w:t>日</w:t>
            </w:r>
          </w:p>
        </w:tc>
      </w:tr>
    </w:tbl>
    <w:p w14:paraId="345AF610">
      <w:pPr>
        <w:adjustRightInd w:val="0"/>
        <w:snapToGrid w:val="0"/>
        <w:spacing w:line="312" w:lineRule="auto"/>
        <w:ind w:firstLine="522"/>
        <w:rPr>
          <w:rFonts w:hint="eastAsia" w:ascii="仿宋" w:hAnsi="仿宋" w:cstheme="minorHAnsi"/>
          <w:b/>
          <w:sz w:val="26"/>
          <w:szCs w:val="26"/>
        </w:rPr>
      </w:pPr>
    </w:p>
    <w:p w14:paraId="04501BC8">
      <w:pPr>
        <w:pStyle w:val="2"/>
        <w:numPr>
          <w:ilvl w:val="0"/>
          <w:numId w:val="0"/>
        </w:numPr>
        <w:jc w:val="center"/>
        <w:rPr>
          <w:rFonts w:hint="eastAsia" w:ascii="仿宋" w:hAnsi="仿宋"/>
        </w:rPr>
      </w:pPr>
      <w:r>
        <w:br w:type="page"/>
      </w:r>
      <w:r>
        <w:rPr>
          <w:rFonts w:hint="eastAsia" w:ascii="仿宋" w:hAnsi="仿宋"/>
        </w:rPr>
        <w:t>附件清单</w:t>
      </w:r>
    </w:p>
    <w:p w14:paraId="1FF2A9F6">
      <w:pPr>
        <w:tabs>
          <w:tab w:val="center" w:pos="4535"/>
        </w:tabs>
        <w:rPr>
          <w:rFonts w:hint="eastAsia" w:ascii="仿宋" w:hAnsi="仿宋"/>
          <w:b/>
        </w:rPr>
      </w:pPr>
      <w:r>
        <w:rPr>
          <w:rFonts w:hint="eastAsia" w:ascii="仿宋" w:hAnsi="仿宋"/>
          <w:b/>
        </w:rPr>
        <w:t>附件一：产品配置清单</w:t>
      </w:r>
    </w:p>
    <w:tbl>
      <w:tblPr>
        <w:tblStyle w:val="33"/>
        <w:tblW w:w="5000" w:type="pct"/>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fixed"/>
        <w:tblCellMar>
          <w:top w:w="0" w:type="dxa"/>
          <w:left w:w="108" w:type="dxa"/>
          <w:bottom w:w="0" w:type="dxa"/>
          <w:right w:w="108" w:type="dxa"/>
        </w:tblCellMar>
      </w:tblPr>
      <w:tblGrid>
        <w:gridCol w:w="871"/>
        <w:gridCol w:w="1453"/>
        <w:gridCol w:w="3930"/>
        <w:gridCol w:w="2468"/>
      </w:tblGrid>
      <w:tr w14:paraId="4705816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414" w:hRule="atLeast"/>
        </w:trPr>
        <w:tc>
          <w:tcPr>
            <w:tcW w:w="5000" w:type="pct"/>
            <w:gridSpan w:val="4"/>
            <w:tcBorders>
              <w:bottom w:val="single" w:color="666666" w:themeColor="text1" w:themeTint="99" w:sz="12" w:space="0"/>
              <w:insideH w:val="single" w:sz="12" w:space="0"/>
            </w:tcBorders>
            <w:vAlign w:val="center"/>
          </w:tcPr>
          <w:p w14:paraId="09991B50">
            <w:pPr>
              <w:ind w:firstLine="482"/>
              <w:jc w:val="center"/>
              <w:textAlignment w:val="center"/>
              <w:rPr>
                <w:rFonts w:hint="eastAsia" w:ascii="仿宋" w:hAnsi="仿宋" w:cs="等线"/>
                <w:b/>
                <w:bCs/>
                <w:sz w:val="28"/>
                <w:szCs w:val="28"/>
              </w:rPr>
            </w:pPr>
            <w:r>
              <w:rPr>
                <w:rFonts w:hint="eastAsia" w:ascii="仿宋" w:hAnsi="仿宋" w:cs="等线"/>
                <w:b/>
                <w:bCs/>
                <w:szCs w:val="24"/>
                <w:lang w:bidi="ar"/>
              </w:rPr>
              <w:t>采购产品配置清单</w:t>
            </w:r>
          </w:p>
        </w:tc>
      </w:tr>
      <w:tr w14:paraId="57BB68D1">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414" w:hRule="atLeast"/>
        </w:trPr>
        <w:tc>
          <w:tcPr>
            <w:tcW w:w="499" w:type="pct"/>
            <w:vAlign w:val="center"/>
          </w:tcPr>
          <w:p w14:paraId="3706D17F">
            <w:pPr>
              <w:ind w:firstLine="12"/>
              <w:jc w:val="center"/>
              <w:textAlignment w:val="center"/>
              <w:rPr>
                <w:rFonts w:hint="eastAsia" w:ascii="仿宋" w:hAnsi="仿宋" w:cs="等线"/>
                <w:b w:val="0"/>
                <w:bCs w:val="0"/>
                <w:szCs w:val="24"/>
              </w:rPr>
            </w:pPr>
            <w:r>
              <w:rPr>
                <w:rFonts w:hint="eastAsia" w:ascii="仿宋" w:hAnsi="仿宋" w:cs="等线"/>
                <w:b/>
                <w:bCs/>
                <w:szCs w:val="24"/>
                <w:lang w:bidi="ar"/>
              </w:rPr>
              <w:t>序号</w:t>
            </w:r>
          </w:p>
        </w:tc>
        <w:tc>
          <w:tcPr>
            <w:tcW w:w="833" w:type="pct"/>
            <w:vAlign w:val="center"/>
          </w:tcPr>
          <w:p w14:paraId="76CAEE22">
            <w:pPr>
              <w:jc w:val="center"/>
              <w:textAlignment w:val="center"/>
              <w:rPr>
                <w:rFonts w:hint="eastAsia" w:ascii="仿宋" w:hAnsi="仿宋" w:cs="等线"/>
                <w:b/>
                <w:bCs/>
                <w:szCs w:val="24"/>
              </w:rPr>
            </w:pPr>
            <w:r>
              <w:rPr>
                <w:rFonts w:hint="eastAsia" w:ascii="仿宋" w:hAnsi="仿宋" w:cs="等线"/>
                <w:b/>
                <w:bCs/>
                <w:szCs w:val="24"/>
              </w:rPr>
              <w:t>项目</w:t>
            </w:r>
          </w:p>
        </w:tc>
        <w:tc>
          <w:tcPr>
            <w:tcW w:w="2253" w:type="pct"/>
            <w:vAlign w:val="center"/>
          </w:tcPr>
          <w:p w14:paraId="7F489784">
            <w:pPr>
              <w:jc w:val="center"/>
              <w:textAlignment w:val="center"/>
              <w:rPr>
                <w:rFonts w:hint="eastAsia" w:ascii="仿宋" w:hAnsi="仿宋" w:cs="等线"/>
                <w:b/>
                <w:bCs/>
                <w:szCs w:val="24"/>
              </w:rPr>
            </w:pPr>
            <w:r>
              <w:rPr>
                <w:rFonts w:hint="eastAsia" w:ascii="仿宋" w:hAnsi="仿宋" w:cs="等线"/>
                <w:b/>
                <w:bCs/>
                <w:szCs w:val="24"/>
              </w:rPr>
              <w:t>关键器件</w:t>
            </w:r>
          </w:p>
        </w:tc>
        <w:tc>
          <w:tcPr>
            <w:tcW w:w="1415" w:type="pct"/>
            <w:vAlign w:val="center"/>
          </w:tcPr>
          <w:p w14:paraId="7A7C9012">
            <w:pPr>
              <w:jc w:val="center"/>
              <w:textAlignment w:val="center"/>
              <w:rPr>
                <w:rFonts w:hint="eastAsia" w:ascii="仿宋" w:hAnsi="仿宋" w:cs="等线"/>
                <w:b/>
                <w:bCs/>
                <w:szCs w:val="24"/>
              </w:rPr>
            </w:pPr>
            <w:r>
              <w:rPr>
                <w:rFonts w:hint="eastAsia" w:ascii="仿宋" w:hAnsi="仿宋" w:cs="等线"/>
                <w:b/>
                <w:bCs/>
                <w:szCs w:val="24"/>
              </w:rPr>
              <w:t>参数</w:t>
            </w:r>
          </w:p>
        </w:tc>
      </w:tr>
      <w:tr w14:paraId="2882C833">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414" w:hRule="atLeast"/>
        </w:trPr>
        <w:tc>
          <w:tcPr>
            <w:tcW w:w="499" w:type="pct"/>
            <w:noWrap/>
            <w:vAlign w:val="center"/>
          </w:tcPr>
          <w:p w14:paraId="371C56FE">
            <w:pPr>
              <w:pStyle w:val="18"/>
              <w:numPr>
                <w:ilvl w:val="0"/>
                <w:numId w:val="17"/>
              </w:numPr>
              <w:ind w:left="240" w:firstLine="0" w:firstLineChars="0"/>
              <w:jc w:val="center"/>
              <w:textAlignment w:val="center"/>
              <w:rPr>
                <w:rFonts w:hint="eastAsia" w:ascii="仿宋" w:hAnsi="仿宋" w:cs="Times New Roman"/>
                <w:b/>
                <w:bCs/>
                <w:sz w:val="21"/>
                <w:szCs w:val="21"/>
              </w:rPr>
            </w:pPr>
          </w:p>
        </w:tc>
        <w:tc>
          <w:tcPr>
            <w:tcW w:w="833" w:type="pct"/>
            <w:vAlign w:val="center"/>
          </w:tcPr>
          <w:p w14:paraId="3CF6B61D">
            <w:pPr>
              <w:jc w:val="center"/>
              <w:textAlignment w:val="center"/>
              <w:rPr>
                <w:rFonts w:hint="eastAsia" w:ascii="仿宋" w:hAnsi="仿宋" w:cs="微软雅黑"/>
                <w:sz w:val="21"/>
                <w:szCs w:val="21"/>
              </w:rPr>
            </w:pPr>
            <w:r>
              <w:rPr>
                <w:rFonts w:hint="eastAsia" w:ascii="仿宋" w:hAnsi="仿宋" w:cs="微软雅黑"/>
                <w:sz w:val="21"/>
                <w:szCs w:val="21"/>
              </w:rPr>
              <w:t>AIoT智能开发套件 KHDVK-3861B（全家福套餐）</w:t>
            </w:r>
          </w:p>
        </w:tc>
        <w:tc>
          <w:tcPr>
            <w:tcW w:w="2253" w:type="pct"/>
            <w:noWrap/>
            <w:vAlign w:val="center"/>
          </w:tcPr>
          <w:p w14:paraId="425A70D0">
            <w:pPr>
              <w:textAlignment w:val="center"/>
              <w:rPr>
                <w:rFonts w:hint="eastAsia" w:ascii="仿宋" w:hAnsi="仿宋" w:cstheme="minorHAnsi"/>
                <w:bCs/>
                <w:szCs w:val="24"/>
              </w:rPr>
            </w:pPr>
            <w:r>
              <w:rPr>
                <w:rFonts w:ascii="仿宋" w:hAnsi="仿宋" w:cstheme="minorHAnsi"/>
                <w:bCs/>
                <w:szCs w:val="24"/>
              </w:rPr>
              <w:t xml:space="preserve">KHDVK_Hi3861_Soil Moisture_01  </w:t>
            </w:r>
          </w:p>
          <w:p w14:paraId="3344C22C">
            <w:pPr>
              <w:textAlignment w:val="center"/>
              <w:rPr>
                <w:rFonts w:hint="eastAsia" w:ascii="仿宋" w:hAnsi="仿宋" w:cstheme="minorHAnsi"/>
                <w:bCs/>
                <w:szCs w:val="24"/>
              </w:rPr>
            </w:pPr>
            <w:r>
              <w:rPr>
                <w:rFonts w:ascii="仿宋" w:hAnsi="仿宋" w:cstheme="minorHAnsi"/>
                <w:bCs/>
                <w:szCs w:val="24"/>
              </w:rPr>
              <w:t xml:space="preserve">KHDVK-Hi3861-Alcohol-01-V1.0  </w:t>
            </w:r>
          </w:p>
          <w:p w14:paraId="6E899C89">
            <w:pPr>
              <w:textAlignment w:val="center"/>
              <w:rPr>
                <w:rFonts w:hint="eastAsia" w:ascii="仿宋" w:hAnsi="仿宋" w:cstheme="minorHAnsi"/>
                <w:bCs/>
                <w:szCs w:val="24"/>
              </w:rPr>
            </w:pPr>
            <w:r>
              <w:rPr>
                <w:rFonts w:ascii="仿宋" w:hAnsi="仿宋" w:cstheme="minorHAnsi"/>
                <w:bCs/>
                <w:szCs w:val="24"/>
              </w:rPr>
              <w:t xml:space="preserve">KHDVK-Hi3861-BT-01-V1.0  </w:t>
            </w:r>
          </w:p>
          <w:p w14:paraId="29E3F527">
            <w:pPr>
              <w:textAlignment w:val="center"/>
              <w:rPr>
                <w:rFonts w:hint="eastAsia" w:ascii="仿宋" w:hAnsi="仿宋" w:cstheme="minorHAnsi"/>
                <w:bCs/>
                <w:szCs w:val="24"/>
              </w:rPr>
            </w:pPr>
            <w:r>
              <w:rPr>
                <w:rFonts w:ascii="仿宋" w:hAnsi="仿宋" w:cstheme="minorHAnsi"/>
                <w:bCs/>
                <w:szCs w:val="24"/>
              </w:rPr>
              <w:t xml:space="preserve">KHDVK-Hi3861-Color-01-V1.0  </w:t>
            </w:r>
          </w:p>
          <w:p w14:paraId="481C79B8">
            <w:pPr>
              <w:textAlignment w:val="center"/>
              <w:rPr>
                <w:rFonts w:hint="eastAsia" w:ascii="仿宋" w:hAnsi="仿宋" w:cstheme="minorHAnsi"/>
                <w:bCs/>
                <w:szCs w:val="24"/>
              </w:rPr>
            </w:pPr>
            <w:r>
              <w:rPr>
                <w:rFonts w:ascii="仿宋" w:hAnsi="仿宋" w:cstheme="minorHAnsi"/>
                <w:bCs/>
                <w:szCs w:val="24"/>
              </w:rPr>
              <w:t xml:space="preserve">KHDVK-Hi3861-EVB-01-V1.0  </w:t>
            </w:r>
          </w:p>
          <w:p w14:paraId="173A3F04">
            <w:pPr>
              <w:textAlignment w:val="center"/>
              <w:rPr>
                <w:rFonts w:hint="eastAsia" w:ascii="仿宋" w:hAnsi="仿宋" w:cstheme="minorHAnsi"/>
                <w:bCs/>
                <w:szCs w:val="24"/>
              </w:rPr>
            </w:pPr>
            <w:r>
              <w:rPr>
                <w:rFonts w:ascii="仿宋" w:hAnsi="仿宋" w:cstheme="minorHAnsi"/>
                <w:bCs/>
                <w:szCs w:val="24"/>
              </w:rPr>
              <w:t xml:space="preserve">KHDVK-Hi3861-Fire-01-V1.0  </w:t>
            </w:r>
          </w:p>
          <w:p w14:paraId="107674F0">
            <w:pPr>
              <w:textAlignment w:val="center"/>
              <w:rPr>
                <w:rFonts w:hint="eastAsia" w:ascii="仿宋" w:hAnsi="仿宋" w:cstheme="minorHAnsi"/>
                <w:bCs/>
                <w:szCs w:val="24"/>
              </w:rPr>
            </w:pPr>
            <w:r>
              <w:rPr>
                <w:rFonts w:ascii="仿宋" w:hAnsi="仿宋" w:cstheme="minorHAnsi"/>
                <w:bCs/>
                <w:szCs w:val="24"/>
              </w:rPr>
              <w:t xml:space="preserve">KHDVK-Hi3861-GAS-01-V1.0  </w:t>
            </w:r>
          </w:p>
          <w:p w14:paraId="7F86054F">
            <w:pPr>
              <w:textAlignment w:val="center"/>
              <w:rPr>
                <w:rFonts w:hint="eastAsia" w:ascii="仿宋" w:hAnsi="仿宋" w:cstheme="minorHAnsi"/>
                <w:bCs/>
                <w:szCs w:val="24"/>
              </w:rPr>
            </w:pPr>
            <w:r>
              <w:rPr>
                <w:rFonts w:ascii="仿宋" w:hAnsi="仿宋" w:cstheme="minorHAnsi"/>
                <w:bCs/>
                <w:szCs w:val="24"/>
              </w:rPr>
              <w:t xml:space="preserve">KHDVK-Hi3861-HR&amp;BO-01-V1.0  </w:t>
            </w:r>
          </w:p>
          <w:p w14:paraId="4E0144DA">
            <w:pPr>
              <w:textAlignment w:val="center"/>
              <w:rPr>
                <w:rFonts w:hint="eastAsia" w:ascii="仿宋" w:hAnsi="仿宋" w:cstheme="minorHAnsi"/>
                <w:bCs/>
                <w:szCs w:val="24"/>
              </w:rPr>
            </w:pPr>
            <w:r>
              <w:rPr>
                <w:rFonts w:ascii="仿宋" w:hAnsi="仿宋" w:cstheme="minorHAnsi"/>
                <w:bCs/>
                <w:szCs w:val="24"/>
              </w:rPr>
              <w:t xml:space="preserve">KHDVK-Hi3861-LCD-01-V1.0  </w:t>
            </w:r>
          </w:p>
          <w:p w14:paraId="4DBAF165">
            <w:pPr>
              <w:textAlignment w:val="center"/>
              <w:rPr>
                <w:rFonts w:hint="eastAsia" w:ascii="仿宋" w:hAnsi="仿宋" w:cstheme="minorHAnsi"/>
                <w:bCs/>
                <w:szCs w:val="24"/>
              </w:rPr>
            </w:pPr>
            <w:r>
              <w:rPr>
                <w:rFonts w:ascii="仿宋" w:hAnsi="仿宋" w:cstheme="minorHAnsi"/>
                <w:bCs/>
                <w:szCs w:val="24"/>
              </w:rPr>
              <w:t xml:space="preserve">KHDVK-Hi3861-LED-01-V1.0  </w:t>
            </w:r>
          </w:p>
          <w:p w14:paraId="65E22458">
            <w:pPr>
              <w:textAlignment w:val="center"/>
              <w:rPr>
                <w:rFonts w:hint="eastAsia" w:ascii="仿宋" w:hAnsi="仿宋" w:cstheme="minorHAnsi"/>
                <w:bCs/>
                <w:szCs w:val="24"/>
              </w:rPr>
            </w:pPr>
            <w:r>
              <w:rPr>
                <w:rFonts w:ascii="仿宋" w:hAnsi="仿宋" w:cstheme="minorHAnsi"/>
                <w:bCs/>
                <w:szCs w:val="24"/>
              </w:rPr>
              <w:t xml:space="preserve">KHDVK-Hi3861-LOC-01-V1.0  </w:t>
            </w:r>
          </w:p>
          <w:p w14:paraId="639D13B5">
            <w:pPr>
              <w:textAlignment w:val="center"/>
              <w:rPr>
                <w:rFonts w:hint="eastAsia" w:ascii="仿宋" w:hAnsi="仿宋" w:cstheme="minorHAnsi"/>
                <w:bCs/>
                <w:szCs w:val="24"/>
              </w:rPr>
            </w:pPr>
            <w:r>
              <w:rPr>
                <w:rFonts w:ascii="仿宋" w:hAnsi="仿宋" w:cstheme="minorHAnsi"/>
                <w:bCs/>
                <w:szCs w:val="24"/>
              </w:rPr>
              <w:t xml:space="preserve">KHDVK-Hi3861-MAIN-01-V1.0  </w:t>
            </w:r>
          </w:p>
          <w:p w14:paraId="603CFA6C">
            <w:pPr>
              <w:textAlignment w:val="center"/>
              <w:rPr>
                <w:rFonts w:hint="eastAsia" w:ascii="仿宋" w:hAnsi="仿宋" w:cstheme="minorHAnsi"/>
                <w:bCs/>
                <w:szCs w:val="24"/>
              </w:rPr>
            </w:pPr>
            <w:r>
              <w:rPr>
                <w:rFonts w:ascii="仿宋" w:hAnsi="仿宋" w:cstheme="minorHAnsi"/>
                <w:bCs/>
                <w:szCs w:val="24"/>
              </w:rPr>
              <w:t xml:space="preserve">KHDVK-Hi3861-NFC-01-V1.0  </w:t>
            </w:r>
          </w:p>
          <w:p w14:paraId="70582652">
            <w:pPr>
              <w:textAlignment w:val="center"/>
              <w:rPr>
                <w:rFonts w:hint="eastAsia" w:ascii="仿宋" w:hAnsi="仿宋" w:cstheme="minorHAnsi"/>
                <w:bCs/>
                <w:szCs w:val="24"/>
              </w:rPr>
            </w:pPr>
            <w:r>
              <w:rPr>
                <w:rFonts w:ascii="仿宋" w:hAnsi="仿宋" w:cstheme="minorHAnsi"/>
                <w:bCs/>
                <w:szCs w:val="24"/>
              </w:rPr>
              <w:t xml:space="preserve">KHDVK-Hi3861-PIR-01-V1.0  </w:t>
            </w:r>
          </w:p>
          <w:p w14:paraId="47AA649B">
            <w:pPr>
              <w:textAlignment w:val="center"/>
              <w:rPr>
                <w:rFonts w:hint="eastAsia" w:ascii="仿宋" w:hAnsi="仿宋" w:cstheme="minorHAnsi"/>
                <w:bCs/>
                <w:szCs w:val="24"/>
              </w:rPr>
            </w:pPr>
            <w:r>
              <w:rPr>
                <w:rFonts w:ascii="仿宋" w:hAnsi="仿宋" w:cstheme="minorHAnsi"/>
                <w:bCs/>
                <w:szCs w:val="24"/>
              </w:rPr>
              <w:t xml:space="preserve">KHDVK-Hi3861-SMP-01-V1.0  </w:t>
            </w:r>
          </w:p>
          <w:p w14:paraId="70DBECC1">
            <w:pPr>
              <w:textAlignment w:val="center"/>
              <w:rPr>
                <w:rFonts w:hint="eastAsia" w:ascii="仿宋" w:hAnsi="仿宋" w:cstheme="minorHAnsi"/>
                <w:bCs/>
                <w:szCs w:val="24"/>
              </w:rPr>
            </w:pPr>
            <w:r>
              <w:rPr>
                <w:rFonts w:ascii="仿宋" w:hAnsi="仿宋" w:cstheme="minorHAnsi"/>
                <w:bCs/>
                <w:szCs w:val="24"/>
              </w:rPr>
              <w:t xml:space="preserve">KHDVK-Hi3861-T&amp;H-01-V1.0  </w:t>
            </w:r>
          </w:p>
          <w:p w14:paraId="6117F00F">
            <w:pPr>
              <w:textAlignment w:val="center"/>
              <w:rPr>
                <w:rFonts w:hint="eastAsia" w:ascii="仿宋" w:hAnsi="仿宋" w:cs="微软雅黑"/>
                <w:sz w:val="21"/>
                <w:szCs w:val="21"/>
              </w:rPr>
            </w:pPr>
            <w:r>
              <w:rPr>
                <w:rFonts w:ascii="仿宋" w:hAnsi="仿宋" w:cstheme="minorHAnsi"/>
                <w:bCs/>
                <w:szCs w:val="24"/>
              </w:rPr>
              <w:t>KHDVK-Hi3861-Temp-01-V1.0</w:t>
            </w:r>
          </w:p>
        </w:tc>
        <w:tc>
          <w:tcPr>
            <w:tcW w:w="1415" w:type="pct"/>
            <w:vAlign w:val="center"/>
          </w:tcPr>
          <w:p w14:paraId="6ABEB295">
            <w:pPr>
              <w:jc w:val="left"/>
              <w:textAlignment w:val="center"/>
              <w:rPr>
                <w:rFonts w:hint="eastAsia" w:ascii="仿宋" w:hAnsi="仿宋" w:cs="微软雅黑"/>
                <w:sz w:val="21"/>
                <w:szCs w:val="21"/>
              </w:rPr>
            </w:pPr>
            <w:r>
              <w:rPr>
                <w:rFonts w:hint="eastAsia" w:ascii="仿宋" w:hAnsi="仿宋" w:cs="微软雅黑"/>
                <w:sz w:val="21"/>
                <w:szCs w:val="21"/>
              </w:rPr>
              <w:t>【鸿蒙版本】OpenHarmony 3.0 LTS</w:t>
            </w:r>
          </w:p>
          <w:p w14:paraId="3B4BFCAB">
            <w:pPr>
              <w:jc w:val="left"/>
              <w:textAlignment w:val="center"/>
              <w:rPr>
                <w:rFonts w:hint="eastAsia" w:ascii="仿宋" w:hAnsi="仿宋" w:cs="微软雅黑"/>
                <w:sz w:val="21"/>
                <w:szCs w:val="21"/>
              </w:rPr>
            </w:pPr>
            <w:r>
              <w:rPr>
                <w:rFonts w:hint="eastAsia" w:ascii="仿宋" w:hAnsi="仿宋" w:cs="微软雅黑"/>
                <w:sz w:val="21"/>
                <w:szCs w:val="21"/>
              </w:rPr>
              <w:t>【开发板特性】</w:t>
            </w:r>
          </w:p>
          <w:p w14:paraId="0A238085">
            <w:pPr>
              <w:jc w:val="left"/>
              <w:textAlignment w:val="center"/>
              <w:rPr>
                <w:rFonts w:hint="eastAsia" w:ascii="仿宋" w:hAnsi="仿宋" w:cs="微软雅黑"/>
                <w:sz w:val="21"/>
                <w:szCs w:val="21"/>
              </w:rPr>
            </w:pPr>
            <w:r>
              <w:rPr>
                <w:rFonts w:hint="eastAsia" w:ascii="仿宋" w:hAnsi="仿宋" w:cs="微软雅黑"/>
                <w:sz w:val="21"/>
                <w:szCs w:val="21"/>
              </w:rPr>
              <w:t>-17 款独立功能板，轻松实现定制化开发需求灵活的组网能力</w:t>
            </w:r>
          </w:p>
          <w:p w14:paraId="6D466D22">
            <w:pPr>
              <w:jc w:val="left"/>
              <w:textAlignment w:val="center"/>
              <w:rPr>
                <w:rFonts w:hint="eastAsia" w:ascii="仿宋" w:hAnsi="仿宋" w:cs="微软雅黑"/>
                <w:sz w:val="21"/>
                <w:szCs w:val="21"/>
              </w:rPr>
            </w:pPr>
            <w:r>
              <w:rPr>
                <w:rFonts w:hint="eastAsia" w:ascii="仿宋" w:hAnsi="仿宋" w:cs="微软雅黑"/>
                <w:sz w:val="21"/>
                <w:szCs w:val="21"/>
              </w:rPr>
              <w:t>-软硬件双开源,可二次开发与学习使用 充分激活开发者的创意</w:t>
            </w:r>
          </w:p>
          <w:p w14:paraId="417F22B4">
            <w:pPr>
              <w:jc w:val="left"/>
              <w:textAlignment w:val="center"/>
              <w:rPr>
                <w:rFonts w:hint="eastAsia" w:ascii="仿宋" w:hAnsi="仿宋" w:cs="微软雅黑"/>
                <w:sz w:val="21"/>
                <w:szCs w:val="21"/>
              </w:rPr>
            </w:pPr>
            <w:r>
              <w:rPr>
                <w:rFonts w:hint="eastAsia" w:ascii="仿宋" w:hAnsi="仿宋" w:cs="微软雅黑"/>
                <w:sz w:val="21"/>
                <w:szCs w:val="21"/>
              </w:rPr>
              <w:t>-碰一碰拉起应用 跨终端一键解决</w:t>
            </w:r>
          </w:p>
          <w:p w14:paraId="02C4300C">
            <w:pPr>
              <w:jc w:val="left"/>
              <w:textAlignment w:val="center"/>
              <w:rPr>
                <w:rFonts w:hint="eastAsia" w:ascii="仿宋" w:hAnsi="仿宋" w:cs="微软雅黑"/>
                <w:sz w:val="21"/>
                <w:szCs w:val="21"/>
              </w:rPr>
            </w:pPr>
            <w:r>
              <w:rPr>
                <w:rFonts w:hint="eastAsia" w:ascii="仿宋" w:hAnsi="仿宋" w:cs="微软雅黑"/>
                <w:sz w:val="21"/>
                <w:szCs w:val="21"/>
              </w:rPr>
              <w:t>-场景联动,可同时接通 2 块功能板真实模拟完整设备</w:t>
            </w:r>
          </w:p>
          <w:p w14:paraId="6175E48F">
            <w:pPr>
              <w:jc w:val="left"/>
              <w:textAlignment w:val="center"/>
              <w:rPr>
                <w:rFonts w:hint="eastAsia" w:ascii="仿宋" w:hAnsi="仿宋" w:cs="微软雅黑"/>
                <w:sz w:val="21"/>
                <w:szCs w:val="21"/>
              </w:rPr>
            </w:pPr>
            <w:r>
              <w:rPr>
                <w:rFonts w:hint="eastAsia" w:ascii="仿宋" w:hAnsi="仿宋" w:cs="微软雅黑"/>
                <w:sz w:val="21"/>
                <w:szCs w:val="21"/>
              </w:rPr>
              <w:t>【硬件规格】</w:t>
            </w:r>
          </w:p>
          <w:p w14:paraId="0AC6510B">
            <w:pPr>
              <w:jc w:val="left"/>
              <w:textAlignment w:val="center"/>
              <w:rPr>
                <w:rFonts w:hint="eastAsia" w:ascii="仿宋" w:hAnsi="仿宋" w:cs="微软雅黑"/>
                <w:sz w:val="21"/>
                <w:szCs w:val="21"/>
              </w:rPr>
            </w:pPr>
            <w:r>
              <w:rPr>
                <w:rFonts w:hint="eastAsia" w:ascii="仿宋" w:hAnsi="仿宋" w:cs="微软雅黑"/>
                <w:sz w:val="21"/>
                <w:szCs w:val="21"/>
              </w:rPr>
              <w:t>-主芯片：Hi3861 Wi-Fi SoC 芯片</w:t>
            </w:r>
          </w:p>
          <w:p w14:paraId="22515F8D">
            <w:pPr>
              <w:jc w:val="left"/>
              <w:textAlignment w:val="center"/>
              <w:rPr>
                <w:rFonts w:hint="eastAsia" w:ascii="仿宋" w:hAnsi="仿宋" w:cs="微软雅黑"/>
                <w:sz w:val="21"/>
                <w:szCs w:val="21"/>
              </w:rPr>
            </w:pPr>
            <w:r>
              <w:rPr>
                <w:rFonts w:hint="eastAsia" w:ascii="仿宋" w:hAnsi="仿宋" w:cs="微软雅黑"/>
                <w:sz w:val="21"/>
                <w:szCs w:val="21"/>
              </w:rPr>
              <w:t>家居场景- 温湿度感应器 ，可燃气体传感器 ，人体红外感应器 ，光敏电阻，照明灯</w:t>
            </w:r>
          </w:p>
          <w:p w14:paraId="3C77E20C">
            <w:pPr>
              <w:jc w:val="left"/>
              <w:textAlignment w:val="center"/>
              <w:rPr>
                <w:rFonts w:hint="eastAsia" w:ascii="仿宋" w:hAnsi="仿宋" w:cs="微软雅黑"/>
                <w:sz w:val="21"/>
                <w:szCs w:val="21"/>
              </w:rPr>
            </w:pPr>
            <w:r>
              <w:rPr>
                <w:rFonts w:hint="eastAsia" w:ascii="仿宋" w:hAnsi="仿宋" w:cs="微软雅黑"/>
                <w:sz w:val="21"/>
                <w:szCs w:val="21"/>
              </w:rPr>
              <w:t>-NFC 功能，模拟磁卡，拉起应用</w:t>
            </w:r>
          </w:p>
          <w:p w14:paraId="064701C5">
            <w:pPr>
              <w:jc w:val="left"/>
              <w:textAlignment w:val="center"/>
              <w:rPr>
                <w:rFonts w:hint="eastAsia" w:ascii="仿宋" w:hAnsi="仿宋" w:cs="微软雅黑"/>
                <w:sz w:val="21"/>
                <w:szCs w:val="21"/>
              </w:rPr>
            </w:pPr>
            <w:r>
              <w:rPr>
                <w:rFonts w:hint="eastAsia" w:ascii="仿宋" w:hAnsi="仿宋" w:cs="微软雅黑"/>
                <w:sz w:val="21"/>
                <w:szCs w:val="21"/>
              </w:rPr>
              <w:t>医疗场景- 心率血氧监测、红外测温、火焰监测</w:t>
            </w:r>
          </w:p>
          <w:p w14:paraId="745AF74F">
            <w:pPr>
              <w:jc w:val="left"/>
              <w:textAlignment w:val="center"/>
              <w:rPr>
                <w:rFonts w:hint="eastAsia" w:ascii="仿宋" w:hAnsi="仿宋" w:cs="微软雅黑"/>
                <w:sz w:val="21"/>
                <w:szCs w:val="21"/>
              </w:rPr>
            </w:pPr>
            <w:r>
              <w:rPr>
                <w:rFonts w:hint="eastAsia" w:ascii="仿宋" w:hAnsi="仿宋" w:cs="微软雅黑"/>
                <w:sz w:val="21"/>
                <w:szCs w:val="21"/>
              </w:rPr>
              <w:t>农业场景- 土壤湿度检测、温湿度检测、土壤湿度探头</w:t>
            </w:r>
          </w:p>
          <w:p w14:paraId="65B9ABDD">
            <w:pPr>
              <w:jc w:val="left"/>
              <w:textAlignment w:val="center"/>
              <w:rPr>
                <w:rFonts w:hint="eastAsia" w:ascii="仿宋" w:hAnsi="仿宋" w:cs="微软雅黑"/>
                <w:sz w:val="21"/>
                <w:szCs w:val="21"/>
              </w:rPr>
            </w:pPr>
            <w:r>
              <w:rPr>
                <w:rFonts w:hint="eastAsia" w:ascii="仿宋" w:hAnsi="仿宋" w:cs="微软雅黑"/>
                <w:sz w:val="21"/>
                <w:szCs w:val="21"/>
              </w:rPr>
              <w:t>交通场景- 高度与北斗定位、颜色检测和酒精乙醇检测</w:t>
            </w:r>
          </w:p>
        </w:tc>
      </w:tr>
    </w:tbl>
    <w:p w14:paraId="16FF5C37">
      <w:pPr>
        <w:widowControl/>
        <w:jc w:val="left"/>
        <w:rPr>
          <w:rFonts w:hint="eastAsia" w:ascii="仿宋" w:hAnsi="仿宋"/>
          <w:b/>
        </w:rPr>
      </w:pPr>
    </w:p>
    <w:sectPr>
      <w:headerReference r:id="rId5" w:type="default"/>
      <w:footerReference r:id="rId6" w:type="default"/>
      <w:pgSz w:w="11906" w:h="16838"/>
      <w:pgMar w:top="1418" w:right="1700" w:bottom="1418" w:left="1701"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华文细黑">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F245F">
    <w:pPr>
      <w:pStyle w:val="8"/>
      <w:ind w:firstLine="420"/>
      <w:jc w:val="center"/>
      <w:rPr>
        <w:rFonts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1595220"/>
    </w:sdtPr>
    <w:sdtEndPr>
      <w:rPr>
        <w:rFonts w:cs="Times New Roman"/>
        <w:sz w:val="21"/>
        <w:szCs w:val="21"/>
      </w:rPr>
    </w:sdtEndPr>
    <w:sdtContent>
      <w:p w14:paraId="6250A25E">
        <w:pPr>
          <w:pStyle w:val="8"/>
          <w:ind w:firstLine="360"/>
          <w:jc w:val="center"/>
          <w:rPr>
            <w:rFonts w:cs="Times New Roman"/>
            <w:sz w:val="21"/>
            <w:szCs w:val="21"/>
          </w:rPr>
        </w:pPr>
        <w:r>
          <w:rPr>
            <w:rFonts w:hint="eastAsia" w:cs="Times New Roman"/>
            <w:sz w:val="21"/>
            <w:szCs w:val="21"/>
          </w:rPr>
          <w:t>第</w:t>
        </w:r>
        <w:r>
          <w:rPr>
            <w:rFonts w:cs="Times New Roman"/>
            <w:sz w:val="21"/>
            <w:szCs w:val="21"/>
          </w:rPr>
          <w:fldChar w:fldCharType="begin"/>
        </w:r>
        <w:r>
          <w:rPr>
            <w:rFonts w:cs="Times New Roman"/>
            <w:sz w:val="21"/>
            <w:szCs w:val="21"/>
          </w:rPr>
          <w:instrText xml:space="preserve">PAGE   \* MERGEFORMAT</w:instrText>
        </w:r>
        <w:r>
          <w:rPr>
            <w:rFonts w:cs="Times New Roman"/>
            <w:sz w:val="21"/>
            <w:szCs w:val="21"/>
          </w:rPr>
          <w:fldChar w:fldCharType="separate"/>
        </w:r>
        <w:r>
          <w:rPr>
            <w:rFonts w:cs="Times New Roman"/>
            <w:sz w:val="21"/>
            <w:szCs w:val="21"/>
          </w:rPr>
          <w:t>3</w:t>
        </w:r>
        <w:r>
          <w:rPr>
            <w:rFonts w:cs="Times New Roman"/>
            <w:sz w:val="21"/>
            <w:szCs w:val="21"/>
          </w:rPr>
          <w:fldChar w:fldCharType="end"/>
        </w:r>
        <w:r>
          <w:rPr>
            <w:rFonts w:hint="eastAsia" w:cs="Times New Roman"/>
            <w:sz w:val="21"/>
            <w:szCs w:val="21"/>
          </w:rPr>
          <w:t>页</w:t>
        </w:r>
        <w:r>
          <w:rPr>
            <w:rFonts w:cs="Times New Roman"/>
            <w:sz w:val="21"/>
            <w:szCs w:val="21"/>
          </w:rPr>
          <w:t>/</w:t>
        </w:r>
        <w:r>
          <w:rPr>
            <w:rFonts w:hint="eastAsia" w:cs="Times New Roman"/>
            <w:sz w:val="21"/>
            <w:szCs w:val="21"/>
          </w:rPr>
          <w:t>共</w:t>
        </w:r>
        <w:r>
          <w:rPr>
            <w:rFonts w:cs="Times New Roman"/>
            <w:sz w:val="21"/>
            <w:szCs w:val="21"/>
          </w:rPr>
          <w:fldChar w:fldCharType="begin"/>
        </w:r>
        <w:r>
          <w:rPr>
            <w:rFonts w:cs="Times New Roman"/>
            <w:sz w:val="21"/>
            <w:szCs w:val="21"/>
          </w:rPr>
          <w:instrText xml:space="preserve"> SECTIONPAGES   \* MERGEFORMAT </w:instrText>
        </w:r>
        <w:r>
          <w:rPr>
            <w:rFonts w:cs="Times New Roman"/>
            <w:sz w:val="21"/>
            <w:szCs w:val="21"/>
          </w:rPr>
          <w:fldChar w:fldCharType="separate"/>
        </w:r>
        <w:r>
          <w:rPr>
            <w:rFonts w:cs="Times New Roman"/>
            <w:sz w:val="21"/>
            <w:szCs w:val="21"/>
          </w:rPr>
          <w:t>9</w:t>
        </w:r>
        <w:r>
          <w:rPr>
            <w:rFonts w:cs="Times New Roman"/>
            <w:sz w:val="21"/>
            <w:szCs w:val="21"/>
          </w:rPr>
          <w:fldChar w:fldCharType="end"/>
        </w:r>
        <w:r>
          <w:rPr>
            <w:rFonts w:hint="eastAsia" w:cs="Times New Roman"/>
            <w:sz w:val="21"/>
            <w:szCs w:val="21"/>
          </w:rPr>
          <w:t>页</w:t>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9126F">
    <w:pPr>
      <w:pStyle w:val="9"/>
      <w:pBdr>
        <w:bottom w:val="none" w:color="auto" w:sz="0" w:space="0"/>
      </w:pBdr>
      <w:tabs>
        <w:tab w:val="left" w:pos="8364"/>
        <w:tab w:val="right" w:pos="8647"/>
        <w:tab w:val="clear" w:pos="8306"/>
      </w:tabs>
      <w:ind w:left="700" w:right="83" w:firstLine="420"/>
      <w:rPr>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3FFE6">
    <w:pPr>
      <w:pStyle w:val="9"/>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AA14A2"/>
    <w:multiLevelType w:val="singleLevel"/>
    <w:tmpl w:val="01AA14A2"/>
    <w:lvl w:ilvl="0" w:tentative="0">
      <w:start w:val="1"/>
      <w:numFmt w:val="decimal"/>
      <w:suff w:val="space"/>
      <w:lvlText w:val="%1."/>
      <w:lvlJc w:val="left"/>
      <w:rPr>
        <w:rFonts w:hint="default" w:ascii="Times New Roman" w:hAnsi="Times New Roman" w:cs="Times New Roman"/>
        <w:b w:val="0"/>
        <w:bCs w:val="0"/>
      </w:rPr>
    </w:lvl>
  </w:abstractNum>
  <w:abstractNum w:abstractNumId="1">
    <w:nsid w:val="0C427AE7"/>
    <w:multiLevelType w:val="multilevel"/>
    <w:tmpl w:val="0C427AE7"/>
    <w:lvl w:ilvl="0" w:tentative="0">
      <w:start w:val="1"/>
      <w:numFmt w:val="chineseCountingThousand"/>
      <w:pStyle w:val="2"/>
      <w:suff w:val="space"/>
      <w:lvlText w:val="第%1条"/>
      <w:lvlJc w:val="left"/>
      <w:pPr>
        <w:ind w:left="0" w:firstLine="0"/>
      </w:pPr>
      <w:rPr>
        <w:rFonts w:hint="default" w:ascii="Times New Roman" w:hAnsi="Times New Roman" w:eastAsia="仿宋"/>
        <w:b/>
        <w:i w:val="0"/>
        <w:sz w:val="2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14525154"/>
    <w:multiLevelType w:val="multilevel"/>
    <w:tmpl w:val="14525154"/>
    <w:lvl w:ilvl="0" w:tentative="0">
      <w:start w:val="1"/>
      <w:numFmt w:val="decimal"/>
      <w:lvlText w:val="%1"/>
      <w:lvlJc w:val="left"/>
      <w:pPr>
        <w:ind w:left="802" w:hanging="420"/>
      </w:pPr>
      <w:rPr>
        <w:rFonts w:hint="eastAsia"/>
      </w:rPr>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3">
    <w:nsid w:val="1B7510FC"/>
    <w:multiLevelType w:val="singleLevel"/>
    <w:tmpl w:val="1B7510FC"/>
    <w:lvl w:ilvl="0" w:tentative="0">
      <w:start w:val="1"/>
      <w:numFmt w:val="decimal"/>
      <w:suff w:val="space"/>
      <w:lvlText w:val="%1."/>
      <w:lvlJc w:val="left"/>
      <w:rPr>
        <w:rFonts w:hint="default" w:ascii="Times New Roman" w:hAnsi="Times New Roman" w:cs="Times New Roman"/>
        <w:b w:val="0"/>
        <w:bCs w:val="0"/>
      </w:rPr>
    </w:lvl>
  </w:abstractNum>
  <w:abstractNum w:abstractNumId="4">
    <w:nsid w:val="34F71F5D"/>
    <w:multiLevelType w:val="multilevel"/>
    <w:tmpl w:val="34F71F5D"/>
    <w:lvl w:ilvl="0" w:tentative="0">
      <w:start w:val="1"/>
      <w:numFmt w:val="decimal"/>
      <w:lvlText w:val="%1)"/>
      <w:lvlJc w:val="left"/>
      <w:pPr>
        <w:ind w:left="987" w:firstLine="147"/>
      </w:pPr>
      <w:rPr>
        <w:rFonts w:hint="eastAsia"/>
      </w:rPr>
    </w:lvl>
    <w:lvl w:ilvl="1" w:tentative="0">
      <w:start w:val="1"/>
      <w:numFmt w:val="lowerLetter"/>
      <w:lvlText w:val="%2)"/>
      <w:lvlJc w:val="left"/>
      <w:pPr>
        <w:ind w:left="1407" w:hanging="420"/>
      </w:pPr>
      <w:rPr>
        <w:rFonts w:hint="eastAsia"/>
      </w:rPr>
    </w:lvl>
    <w:lvl w:ilvl="2" w:tentative="0">
      <w:start w:val="1"/>
      <w:numFmt w:val="lowerRoman"/>
      <w:lvlText w:val="%3."/>
      <w:lvlJc w:val="right"/>
      <w:pPr>
        <w:ind w:left="1827" w:hanging="420"/>
      </w:pPr>
      <w:rPr>
        <w:rFonts w:hint="eastAsia"/>
      </w:rPr>
    </w:lvl>
    <w:lvl w:ilvl="3" w:tentative="0">
      <w:start w:val="1"/>
      <w:numFmt w:val="decimal"/>
      <w:lvlText w:val="%4."/>
      <w:lvlJc w:val="left"/>
      <w:pPr>
        <w:ind w:left="2247" w:hanging="420"/>
      </w:pPr>
      <w:rPr>
        <w:rFonts w:hint="eastAsia"/>
      </w:rPr>
    </w:lvl>
    <w:lvl w:ilvl="4" w:tentative="0">
      <w:start w:val="1"/>
      <w:numFmt w:val="lowerLetter"/>
      <w:lvlText w:val="%5)"/>
      <w:lvlJc w:val="left"/>
      <w:pPr>
        <w:ind w:left="2667" w:hanging="420"/>
      </w:pPr>
      <w:rPr>
        <w:rFonts w:hint="eastAsia"/>
      </w:rPr>
    </w:lvl>
    <w:lvl w:ilvl="5" w:tentative="0">
      <w:start w:val="1"/>
      <w:numFmt w:val="lowerRoman"/>
      <w:lvlText w:val="%6."/>
      <w:lvlJc w:val="right"/>
      <w:pPr>
        <w:ind w:left="3087" w:hanging="420"/>
      </w:pPr>
      <w:rPr>
        <w:rFonts w:hint="eastAsia"/>
      </w:rPr>
    </w:lvl>
    <w:lvl w:ilvl="6" w:tentative="0">
      <w:start w:val="1"/>
      <w:numFmt w:val="decimal"/>
      <w:lvlText w:val="%7."/>
      <w:lvlJc w:val="left"/>
      <w:pPr>
        <w:ind w:left="3507" w:hanging="420"/>
      </w:pPr>
      <w:rPr>
        <w:rFonts w:hint="eastAsia"/>
      </w:rPr>
    </w:lvl>
    <w:lvl w:ilvl="7" w:tentative="0">
      <w:start w:val="1"/>
      <w:numFmt w:val="lowerLetter"/>
      <w:lvlText w:val="%8)"/>
      <w:lvlJc w:val="left"/>
      <w:pPr>
        <w:ind w:left="3927" w:hanging="420"/>
      </w:pPr>
      <w:rPr>
        <w:rFonts w:hint="eastAsia"/>
      </w:rPr>
    </w:lvl>
    <w:lvl w:ilvl="8" w:tentative="0">
      <w:start w:val="1"/>
      <w:numFmt w:val="lowerRoman"/>
      <w:lvlText w:val="%9."/>
      <w:lvlJc w:val="right"/>
      <w:pPr>
        <w:ind w:left="4347" w:hanging="420"/>
      </w:pPr>
      <w:rPr>
        <w:rFonts w:hint="eastAsia"/>
      </w:rPr>
    </w:lvl>
  </w:abstractNum>
  <w:abstractNum w:abstractNumId="5">
    <w:nsid w:val="35731B17"/>
    <w:multiLevelType w:val="singleLevel"/>
    <w:tmpl w:val="35731B17"/>
    <w:lvl w:ilvl="0" w:tentative="0">
      <w:start w:val="1"/>
      <w:numFmt w:val="decimal"/>
      <w:suff w:val="space"/>
      <w:lvlText w:val="%1."/>
      <w:lvlJc w:val="left"/>
      <w:rPr>
        <w:rFonts w:hint="default" w:ascii="Times New Roman" w:hAnsi="Times New Roman" w:cs="Times New Roman"/>
        <w:b w:val="0"/>
        <w:bCs w:val="0"/>
      </w:rPr>
    </w:lvl>
  </w:abstractNum>
  <w:abstractNum w:abstractNumId="6">
    <w:nsid w:val="421F5AAF"/>
    <w:multiLevelType w:val="singleLevel"/>
    <w:tmpl w:val="421F5AAF"/>
    <w:lvl w:ilvl="0" w:tentative="0">
      <w:start w:val="1"/>
      <w:numFmt w:val="decimal"/>
      <w:suff w:val="space"/>
      <w:lvlText w:val="%1."/>
      <w:lvlJc w:val="left"/>
      <w:rPr>
        <w:rFonts w:hint="default" w:ascii="Times New Roman" w:hAnsi="Times New Roman" w:cs="Times New Roman"/>
        <w:b w:val="0"/>
        <w:bCs w:val="0"/>
      </w:rPr>
    </w:lvl>
  </w:abstractNum>
  <w:abstractNum w:abstractNumId="7">
    <w:nsid w:val="45F50A0D"/>
    <w:multiLevelType w:val="singleLevel"/>
    <w:tmpl w:val="45F50A0D"/>
    <w:lvl w:ilvl="0" w:tentative="0">
      <w:start w:val="1"/>
      <w:numFmt w:val="decimal"/>
      <w:suff w:val="space"/>
      <w:lvlText w:val="%1."/>
      <w:lvlJc w:val="left"/>
      <w:rPr>
        <w:rFonts w:hint="default" w:ascii="Times New Roman" w:hAnsi="Times New Roman" w:cs="Times New Roman"/>
        <w:b w:val="0"/>
        <w:bCs w:val="0"/>
      </w:rPr>
    </w:lvl>
  </w:abstractNum>
  <w:abstractNum w:abstractNumId="8">
    <w:nsid w:val="47206CCF"/>
    <w:multiLevelType w:val="multilevel"/>
    <w:tmpl w:val="47206CCF"/>
    <w:lvl w:ilvl="0" w:tentative="0">
      <w:start w:val="1"/>
      <w:numFmt w:val="decimal"/>
      <w:suff w:val="nothing"/>
      <w:lvlText w:val="%1．"/>
      <w:lvlJc w:val="left"/>
      <w:pPr>
        <w:ind w:left="0" w:firstLine="400"/>
      </w:pPr>
      <w:rPr>
        <w:rFonts w:hint="default"/>
      </w:rPr>
    </w:lvl>
    <w:lvl w:ilvl="1" w:tentative="0">
      <w:start w:val="1"/>
      <w:numFmt w:val="decimal"/>
      <w:lvlText w:val="(%2)"/>
      <w:lvlJc w:val="left"/>
      <w:pPr>
        <w:tabs>
          <w:tab w:val="left" w:pos="840"/>
        </w:tabs>
        <w:ind w:left="1240" w:hanging="420"/>
      </w:pPr>
      <w:rPr>
        <w:rFonts w:hint="default"/>
      </w:rPr>
    </w:lvl>
    <w:lvl w:ilvl="2" w:tentative="0">
      <w:start w:val="1"/>
      <w:numFmt w:val="decimalEnclosedCircleChinese"/>
      <w:lvlText w:val="%3"/>
      <w:lvlJc w:val="left"/>
      <w:pPr>
        <w:tabs>
          <w:tab w:val="left" w:pos="1260"/>
        </w:tabs>
        <w:ind w:left="1660" w:hanging="420"/>
      </w:pPr>
      <w:rPr>
        <w:rFonts w:hint="default"/>
      </w:rPr>
    </w:lvl>
    <w:lvl w:ilvl="3" w:tentative="0">
      <w:start w:val="1"/>
      <w:numFmt w:val="decimal"/>
      <w:lvlText w:val="%4)"/>
      <w:lvlJc w:val="left"/>
      <w:pPr>
        <w:tabs>
          <w:tab w:val="left" w:pos="1680"/>
        </w:tabs>
        <w:ind w:left="2080" w:hanging="420"/>
      </w:pPr>
      <w:rPr>
        <w:rFonts w:hint="default"/>
      </w:rPr>
    </w:lvl>
    <w:lvl w:ilvl="4" w:tentative="0">
      <w:start w:val="1"/>
      <w:numFmt w:val="lowerLetter"/>
      <w:lvlText w:val="%5."/>
      <w:lvlJc w:val="left"/>
      <w:pPr>
        <w:tabs>
          <w:tab w:val="left" w:pos="2100"/>
        </w:tabs>
        <w:ind w:left="2500" w:hanging="420"/>
      </w:pPr>
      <w:rPr>
        <w:rFonts w:hint="default"/>
      </w:rPr>
    </w:lvl>
    <w:lvl w:ilvl="5" w:tentative="0">
      <w:start w:val="1"/>
      <w:numFmt w:val="lowerLetter"/>
      <w:lvlText w:val="%6)"/>
      <w:lvlJc w:val="left"/>
      <w:pPr>
        <w:tabs>
          <w:tab w:val="left" w:pos="2520"/>
        </w:tabs>
        <w:ind w:left="2920" w:hanging="420"/>
      </w:pPr>
      <w:rPr>
        <w:rFonts w:hint="default"/>
      </w:rPr>
    </w:lvl>
    <w:lvl w:ilvl="6" w:tentative="0">
      <w:start w:val="1"/>
      <w:numFmt w:val="lowerRoman"/>
      <w:lvlText w:val="%7."/>
      <w:lvlJc w:val="left"/>
      <w:pPr>
        <w:tabs>
          <w:tab w:val="left" w:pos="2940"/>
        </w:tabs>
        <w:ind w:left="3340" w:hanging="420"/>
      </w:pPr>
      <w:rPr>
        <w:rFonts w:hint="default"/>
      </w:rPr>
    </w:lvl>
    <w:lvl w:ilvl="7" w:tentative="0">
      <w:start w:val="1"/>
      <w:numFmt w:val="lowerRoman"/>
      <w:lvlText w:val="%8)"/>
      <w:lvlJc w:val="left"/>
      <w:pPr>
        <w:tabs>
          <w:tab w:val="left" w:pos="3360"/>
        </w:tabs>
        <w:ind w:left="3760" w:hanging="420"/>
      </w:pPr>
      <w:rPr>
        <w:rFonts w:hint="default"/>
      </w:rPr>
    </w:lvl>
    <w:lvl w:ilvl="8" w:tentative="0">
      <w:start w:val="1"/>
      <w:numFmt w:val="lowerLetter"/>
      <w:lvlText w:val="%9."/>
      <w:lvlJc w:val="left"/>
      <w:pPr>
        <w:tabs>
          <w:tab w:val="left" w:pos="3780"/>
        </w:tabs>
        <w:ind w:left="4180" w:hanging="420"/>
      </w:pPr>
      <w:rPr>
        <w:rFonts w:hint="default"/>
      </w:rPr>
    </w:lvl>
  </w:abstractNum>
  <w:abstractNum w:abstractNumId="9">
    <w:nsid w:val="474D1D09"/>
    <w:multiLevelType w:val="multilevel"/>
    <w:tmpl w:val="474D1D09"/>
    <w:lvl w:ilvl="0" w:tentative="0">
      <w:start w:val="1"/>
      <w:numFmt w:val="decimal"/>
      <w:lvlText w:val="%1."/>
      <w:lvlJc w:val="left"/>
      <w:pPr>
        <w:ind w:left="0" w:firstLine="425"/>
      </w:pPr>
      <w:rPr>
        <w:rFonts w:hint="eastAsia"/>
      </w:rPr>
    </w:lvl>
    <w:lvl w:ilvl="1" w:tentative="0">
      <w:start w:val="1"/>
      <w:numFmt w:val="lowerLetter"/>
      <w:lvlText w:val="%2)"/>
      <w:lvlJc w:val="left"/>
      <w:pPr>
        <w:ind w:left="1265" w:hanging="420"/>
      </w:pPr>
      <w:rPr>
        <w:rFonts w:hint="eastAsia"/>
      </w:rPr>
    </w:lvl>
    <w:lvl w:ilvl="2" w:tentative="0">
      <w:start w:val="1"/>
      <w:numFmt w:val="lowerRoman"/>
      <w:lvlText w:val="%3."/>
      <w:lvlJc w:val="right"/>
      <w:pPr>
        <w:ind w:left="1685" w:hanging="420"/>
      </w:pPr>
      <w:rPr>
        <w:rFonts w:hint="eastAsia"/>
      </w:rPr>
    </w:lvl>
    <w:lvl w:ilvl="3" w:tentative="0">
      <w:start w:val="1"/>
      <w:numFmt w:val="decimal"/>
      <w:lvlText w:val="%4."/>
      <w:lvlJc w:val="left"/>
      <w:pPr>
        <w:ind w:left="845" w:hanging="420"/>
      </w:pPr>
      <w:rPr>
        <w:rFonts w:hint="eastAsia"/>
      </w:rPr>
    </w:lvl>
    <w:lvl w:ilvl="4" w:tentative="0">
      <w:start w:val="1"/>
      <w:numFmt w:val="lowerLetter"/>
      <w:lvlText w:val="%5)"/>
      <w:lvlJc w:val="left"/>
      <w:pPr>
        <w:ind w:left="2525" w:hanging="420"/>
      </w:pPr>
      <w:rPr>
        <w:rFonts w:hint="eastAsia"/>
      </w:rPr>
    </w:lvl>
    <w:lvl w:ilvl="5" w:tentative="0">
      <w:start w:val="1"/>
      <w:numFmt w:val="lowerRoman"/>
      <w:lvlText w:val="%6."/>
      <w:lvlJc w:val="right"/>
      <w:pPr>
        <w:ind w:left="2945" w:hanging="420"/>
      </w:pPr>
      <w:rPr>
        <w:rFonts w:hint="eastAsia"/>
      </w:rPr>
    </w:lvl>
    <w:lvl w:ilvl="6" w:tentative="0">
      <w:start w:val="1"/>
      <w:numFmt w:val="decimal"/>
      <w:lvlText w:val="%7."/>
      <w:lvlJc w:val="left"/>
      <w:pPr>
        <w:ind w:left="3365" w:hanging="420"/>
      </w:pPr>
      <w:rPr>
        <w:rFonts w:hint="eastAsia"/>
      </w:rPr>
    </w:lvl>
    <w:lvl w:ilvl="7" w:tentative="0">
      <w:start w:val="1"/>
      <w:numFmt w:val="lowerLetter"/>
      <w:lvlText w:val="%8)"/>
      <w:lvlJc w:val="left"/>
      <w:pPr>
        <w:ind w:left="3785" w:hanging="420"/>
      </w:pPr>
      <w:rPr>
        <w:rFonts w:hint="eastAsia"/>
      </w:rPr>
    </w:lvl>
    <w:lvl w:ilvl="8" w:tentative="0">
      <w:start w:val="1"/>
      <w:numFmt w:val="lowerRoman"/>
      <w:lvlText w:val="%9."/>
      <w:lvlJc w:val="right"/>
      <w:pPr>
        <w:ind w:left="4205" w:hanging="420"/>
      </w:pPr>
      <w:rPr>
        <w:rFonts w:hint="eastAsia"/>
      </w:rPr>
    </w:lvl>
  </w:abstractNum>
  <w:abstractNum w:abstractNumId="10">
    <w:nsid w:val="47F368F9"/>
    <w:multiLevelType w:val="singleLevel"/>
    <w:tmpl w:val="47F368F9"/>
    <w:lvl w:ilvl="0" w:tentative="0">
      <w:start w:val="1"/>
      <w:numFmt w:val="decimal"/>
      <w:suff w:val="space"/>
      <w:lvlText w:val="%1."/>
      <w:lvlJc w:val="left"/>
      <w:rPr>
        <w:rFonts w:hint="default" w:ascii="Times New Roman" w:hAnsi="Times New Roman" w:cs="Times New Roman"/>
        <w:b w:val="0"/>
        <w:bCs w:val="0"/>
      </w:rPr>
    </w:lvl>
  </w:abstractNum>
  <w:abstractNum w:abstractNumId="11">
    <w:nsid w:val="61EC7084"/>
    <w:multiLevelType w:val="singleLevel"/>
    <w:tmpl w:val="61EC7084"/>
    <w:lvl w:ilvl="0" w:tentative="0">
      <w:start w:val="1"/>
      <w:numFmt w:val="decimal"/>
      <w:suff w:val="space"/>
      <w:lvlText w:val="%1."/>
      <w:lvlJc w:val="left"/>
      <w:rPr>
        <w:rFonts w:hint="default" w:ascii="Times New Roman" w:hAnsi="Times New Roman" w:cs="Times New Roman"/>
        <w:b w:val="0"/>
        <w:bCs w:val="0"/>
      </w:rPr>
    </w:lvl>
  </w:abstractNum>
  <w:abstractNum w:abstractNumId="12">
    <w:nsid w:val="6F794491"/>
    <w:multiLevelType w:val="singleLevel"/>
    <w:tmpl w:val="6F794491"/>
    <w:lvl w:ilvl="0" w:tentative="0">
      <w:start w:val="1"/>
      <w:numFmt w:val="decimal"/>
      <w:suff w:val="space"/>
      <w:lvlText w:val="%1."/>
      <w:lvlJc w:val="left"/>
      <w:rPr>
        <w:rFonts w:hint="default" w:ascii="Times New Roman" w:hAnsi="Times New Roman" w:cs="Times New Roman"/>
        <w:b w:val="0"/>
        <w:bCs w:val="0"/>
      </w:rPr>
    </w:lvl>
  </w:abstractNum>
  <w:abstractNum w:abstractNumId="13">
    <w:nsid w:val="70A24927"/>
    <w:multiLevelType w:val="multilevel"/>
    <w:tmpl w:val="70A24927"/>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
    <w:nsid w:val="78204312"/>
    <w:multiLevelType w:val="singleLevel"/>
    <w:tmpl w:val="78204312"/>
    <w:lvl w:ilvl="0" w:tentative="0">
      <w:start w:val="1"/>
      <w:numFmt w:val="decimal"/>
      <w:suff w:val="space"/>
      <w:lvlText w:val="%1."/>
      <w:lvlJc w:val="left"/>
      <w:rPr>
        <w:rFonts w:hint="default" w:ascii="Times New Roman" w:hAnsi="Times New Roman" w:cs="Times New Roman"/>
        <w:b w:val="0"/>
        <w:bCs w:val="0"/>
      </w:rPr>
    </w:lvl>
  </w:abstractNum>
  <w:abstractNum w:abstractNumId="15">
    <w:nsid w:val="7D2B1FC8"/>
    <w:multiLevelType w:val="multilevel"/>
    <w:tmpl w:val="7D2B1FC8"/>
    <w:lvl w:ilvl="0" w:tentative="0">
      <w:start w:val="1"/>
      <w:numFmt w:val="decimal"/>
      <w:suff w:val="nothing"/>
      <w:lvlText w:val="%1．"/>
      <w:lvlJc w:val="left"/>
      <w:pPr>
        <w:ind w:left="0" w:firstLine="400"/>
      </w:pPr>
      <w:rPr>
        <w:rFonts w:hint="default"/>
      </w:rPr>
    </w:lvl>
    <w:lvl w:ilvl="1" w:tentative="0">
      <w:start w:val="1"/>
      <w:numFmt w:val="decimal"/>
      <w:lvlText w:val="(%2)"/>
      <w:lvlJc w:val="left"/>
      <w:pPr>
        <w:tabs>
          <w:tab w:val="left" w:pos="840"/>
        </w:tabs>
        <w:ind w:left="1240" w:hanging="420"/>
      </w:pPr>
      <w:rPr>
        <w:rFonts w:hint="default"/>
      </w:rPr>
    </w:lvl>
    <w:lvl w:ilvl="2" w:tentative="0">
      <w:start w:val="1"/>
      <w:numFmt w:val="decimalEnclosedCircleChinese"/>
      <w:lvlText w:val="%3"/>
      <w:lvlJc w:val="left"/>
      <w:pPr>
        <w:tabs>
          <w:tab w:val="left" w:pos="1260"/>
        </w:tabs>
        <w:ind w:left="1660" w:hanging="420"/>
      </w:pPr>
      <w:rPr>
        <w:rFonts w:hint="default"/>
      </w:rPr>
    </w:lvl>
    <w:lvl w:ilvl="3" w:tentative="0">
      <w:start w:val="1"/>
      <w:numFmt w:val="decimal"/>
      <w:lvlText w:val="%4)"/>
      <w:lvlJc w:val="left"/>
      <w:pPr>
        <w:tabs>
          <w:tab w:val="left" w:pos="1680"/>
        </w:tabs>
        <w:ind w:left="2080" w:hanging="420"/>
      </w:pPr>
      <w:rPr>
        <w:rFonts w:hint="default"/>
      </w:rPr>
    </w:lvl>
    <w:lvl w:ilvl="4" w:tentative="0">
      <w:start w:val="1"/>
      <w:numFmt w:val="lowerLetter"/>
      <w:lvlText w:val="%5."/>
      <w:lvlJc w:val="left"/>
      <w:pPr>
        <w:tabs>
          <w:tab w:val="left" w:pos="2100"/>
        </w:tabs>
        <w:ind w:left="2500" w:hanging="420"/>
      </w:pPr>
      <w:rPr>
        <w:rFonts w:hint="default"/>
      </w:rPr>
    </w:lvl>
    <w:lvl w:ilvl="5" w:tentative="0">
      <w:start w:val="1"/>
      <w:numFmt w:val="lowerLetter"/>
      <w:lvlText w:val="%6)"/>
      <w:lvlJc w:val="left"/>
      <w:pPr>
        <w:tabs>
          <w:tab w:val="left" w:pos="2520"/>
        </w:tabs>
        <w:ind w:left="2920" w:hanging="420"/>
      </w:pPr>
      <w:rPr>
        <w:rFonts w:hint="default"/>
      </w:rPr>
    </w:lvl>
    <w:lvl w:ilvl="6" w:tentative="0">
      <w:start w:val="1"/>
      <w:numFmt w:val="lowerRoman"/>
      <w:lvlText w:val="%7."/>
      <w:lvlJc w:val="left"/>
      <w:pPr>
        <w:tabs>
          <w:tab w:val="left" w:pos="2940"/>
        </w:tabs>
        <w:ind w:left="3340" w:hanging="420"/>
      </w:pPr>
      <w:rPr>
        <w:rFonts w:hint="default"/>
      </w:rPr>
    </w:lvl>
    <w:lvl w:ilvl="7" w:tentative="0">
      <w:start w:val="1"/>
      <w:numFmt w:val="lowerRoman"/>
      <w:lvlText w:val="%8)"/>
      <w:lvlJc w:val="left"/>
      <w:pPr>
        <w:tabs>
          <w:tab w:val="left" w:pos="3360"/>
        </w:tabs>
        <w:ind w:left="3760" w:hanging="420"/>
      </w:pPr>
      <w:rPr>
        <w:rFonts w:hint="default"/>
      </w:rPr>
    </w:lvl>
    <w:lvl w:ilvl="8" w:tentative="0">
      <w:start w:val="1"/>
      <w:numFmt w:val="lowerLetter"/>
      <w:lvlText w:val="%9."/>
      <w:lvlJc w:val="left"/>
      <w:pPr>
        <w:tabs>
          <w:tab w:val="left" w:pos="3780"/>
        </w:tabs>
        <w:ind w:left="4180" w:hanging="420"/>
      </w:pPr>
      <w:rPr>
        <w:rFonts w:hint="default"/>
      </w:rPr>
    </w:lvl>
  </w:abstractNum>
  <w:abstractNum w:abstractNumId="16">
    <w:nsid w:val="7DCA0D41"/>
    <w:multiLevelType w:val="singleLevel"/>
    <w:tmpl w:val="7DCA0D41"/>
    <w:lvl w:ilvl="0" w:tentative="0">
      <w:start w:val="1"/>
      <w:numFmt w:val="decimal"/>
      <w:suff w:val="space"/>
      <w:lvlText w:val="%1."/>
      <w:lvlJc w:val="left"/>
      <w:rPr>
        <w:rFonts w:hint="default" w:ascii="Times New Roman" w:hAnsi="Times New Roman" w:cs="Times New Roman"/>
        <w:b w:val="0"/>
        <w:bCs w:val="0"/>
      </w:rPr>
    </w:lvl>
  </w:abstractNum>
  <w:num w:numId="1">
    <w:abstractNumId w:val="1"/>
  </w:num>
  <w:num w:numId="2">
    <w:abstractNumId w:val="7"/>
  </w:num>
  <w:num w:numId="3">
    <w:abstractNumId w:val="5"/>
  </w:num>
  <w:num w:numId="4">
    <w:abstractNumId w:val="12"/>
  </w:num>
  <w:num w:numId="5">
    <w:abstractNumId w:val="14"/>
  </w:num>
  <w:num w:numId="6">
    <w:abstractNumId w:val="0"/>
  </w:num>
  <w:num w:numId="7">
    <w:abstractNumId w:val="16"/>
  </w:num>
  <w:num w:numId="8">
    <w:abstractNumId w:val="9"/>
  </w:num>
  <w:num w:numId="9">
    <w:abstractNumId w:val="4"/>
  </w:num>
  <w:num w:numId="10">
    <w:abstractNumId w:val="8"/>
  </w:num>
  <w:num w:numId="11">
    <w:abstractNumId w:val="11"/>
  </w:num>
  <w:num w:numId="12">
    <w:abstractNumId w:val="15"/>
  </w:num>
  <w:num w:numId="13">
    <w:abstractNumId w:val="13"/>
  </w:num>
  <w:num w:numId="14">
    <w:abstractNumId w:val="3"/>
  </w:num>
  <w:num w:numId="15">
    <w:abstractNumId w:val="10"/>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attachedTemplate r:id="rId1"/>
  <w:trackRevisions w:val="1"/>
  <w:documentProtection w:enforcement="0"/>
  <w:defaultTabStop w:val="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jb3VudCI6NDAsImhkaWQiOiJiMTBhNTUzYWJhODkwOTZmZmNkYTBkM2Q2NWRjMzQxYSIsInVzZXJDb3VudCI6MX0="/>
  </w:docVars>
  <w:rsids>
    <w:rsidRoot w:val="280C7693"/>
    <w:rsid w:val="0000099C"/>
    <w:rsid w:val="000042C2"/>
    <w:rsid w:val="0000464B"/>
    <w:rsid w:val="000055BE"/>
    <w:rsid w:val="00005B3F"/>
    <w:rsid w:val="00005F8E"/>
    <w:rsid w:val="000076C2"/>
    <w:rsid w:val="000111FB"/>
    <w:rsid w:val="0001572A"/>
    <w:rsid w:val="000161D5"/>
    <w:rsid w:val="00017231"/>
    <w:rsid w:val="00017514"/>
    <w:rsid w:val="00017C3F"/>
    <w:rsid w:val="00026FB4"/>
    <w:rsid w:val="000274B7"/>
    <w:rsid w:val="00027951"/>
    <w:rsid w:val="00035C50"/>
    <w:rsid w:val="000360E4"/>
    <w:rsid w:val="00037DB2"/>
    <w:rsid w:val="00040320"/>
    <w:rsid w:val="000406D1"/>
    <w:rsid w:val="00041A9D"/>
    <w:rsid w:val="00042716"/>
    <w:rsid w:val="000428E9"/>
    <w:rsid w:val="00042D8E"/>
    <w:rsid w:val="000464D8"/>
    <w:rsid w:val="00046969"/>
    <w:rsid w:val="00050AEF"/>
    <w:rsid w:val="00050D0A"/>
    <w:rsid w:val="00050F62"/>
    <w:rsid w:val="000525CE"/>
    <w:rsid w:val="000542F1"/>
    <w:rsid w:val="000567CA"/>
    <w:rsid w:val="00060BA2"/>
    <w:rsid w:val="000614BA"/>
    <w:rsid w:val="00067512"/>
    <w:rsid w:val="00067A3F"/>
    <w:rsid w:val="00067DBD"/>
    <w:rsid w:val="00072745"/>
    <w:rsid w:val="00072BF1"/>
    <w:rsid w:val="00074335"/>
    <w:rsid w:val="000745A9"/>
    <w:rsid w:val="0007497E"/>
    <w:rsid w:val="00076818"/>
    <w:rsid w:val="00076D1A"/>
    <w:rsid w:val="00077F38"/>
    <w:rsid w:val="000801DE"/>
    <w:rsid w:val="00080A65"/>
    <w:rsid w:val="00080A83"/>
    <w:rsid w:val="00081900"/>
    <w:rsid w:val="00081EAA"/>
    <w:rsid w:val="00082494"/>
    <w:rsid w:val="000848F7"/>
    <w:rsid w:val="00084925"/>
    <w:rsid w:val="000849F2"/>
    <w:rsid w:val="00085277"/>
    <w:rsid w:val="00085C77"/>
    <w:rsid w:val="00091F48"/>
    <w:rsid w:val="00092AE3"/>
    <w:rsid w:val="000931B4"/>
    <w:rsid w:val="000937A6"/>
    <w:rsid w:val="00094598"/>
    <w:rsid w:val="00095EBD"/>
    <w:rsid w:val="000967C2"/>
    <w:rsid w:val="000A0CEC"/>
    <w:rsid w:val="000A407F"/>
    <w:rsid w:val="000B0A47"/>
    <w:rsid w:val="000B0B6A"/>
    <w:rsid w:val="000B0BBA"/>
    <w:rsid w:val="000B0C68"/>
    <w:rsid w:val="000B3124"/>
    <w:rsid w:val="000B56D0"/>
    <w:rsid w:val="000B6DC7"/>
    <w:rsid w:val="000B73FB"/>
    <w:rsid w:val="000C0084"/>
    <w:rsid w:val="000C02D0"/>
    <w:rsid w:val="000C103A"/>
    <w:rsid w:val="000C105D"/>
    <w:rsid w:val="000C7518"/>
    <w:rsid w:val="000D0FED"/>
    <w:rsid w:val="000D1193"/>
    <w:rsid w:val="000D1ABD"/>
    <w:rsid w:val="000D1F11"/>
    <w:rsid w:val="000D1FAF"/>
    <w:rsid w:val="000D238A"/>
    <w:rsid w:val="000D29BA"/>
    <w:rsid w:val="000D2D0C"/>
    <w:rsid w:val="000D3333"/>
    <w:rsid w:val="000D3852"/>
    <w:rsid w:val="000D489E"/>
    <w:rsid w:val="000D5BCF"/>
    <w:rsid w:val="000D6CE4"/>
    <w:rsid w:val="000E03D7"/>
    <w:rsid w:val="000E0549"/>
    <w:rsid w:val="000E2347"/>
    <w:rsid w:val="000E2A46"/>
    <w:rsid w:val="000E344F"/>
    <w:rsid w:val="000E3EC1"/>
    <w:rsid w:val="000E5513"/>
    <w:rsid w:val="000E5840"/>
    <w:rsid w:val="000E7B84"/>
    <w:rsid w:val="000F02D0"/>
    <w:rsid w:val="000F4F62"/>
    <w:rsid w:val="000F5434"/>
    <w:rsid w:val="00105F3C"/>
    <w:rsid w:val="00106322"/>
    <w:rsid w:val="001114F6"/>
    <w:rsid w:val="00112532"/>
    <w:rsid w:val="00113119"/>
    <w:rsid w:val="00113415"/>
    <w:rsid w:val="00113DDF"/>
    <w:rsid w:val="00114734"/>
    <w:rsid w:val="0011701D"/>
    <w:rsid w:val="00117533"/>
    <w:rsid w:val="001241BE"/>
    <w:rsid w:val="0012451C"/>
    <w:rsid w:val="001245E2"/>
    <w:rsid w:val="00125276"/>
    <w:rsid w:val="00125B38"/>
    <w:rsid w:val="001266B3"/>
    <w:rsid w:val="001303FC"/>
    <w:rsid w:val="001310A4"/>
    <w:rsid w:val="001312FC"/>
    <w:rsid w:val="00133A2B"/>
    <w:rsid w:val="00137D47"/>
    <w:rsid w:val="00140F04"/>
    <w:rsid w:val="001418FD"/>
    <w:rsid w:val="00142138"/>
    <w:rsid w:val="001452C1"/>
    <w:rsid w:val="001457A9"/>
    <w:rsid w:val="00146ABB"/>
    <w:rsid w:val="00147DC5"/>
    <w:rsid w:val="00153F67"/>
    <w:rsid w:val="001636FE"/>
    <w:rsid w:val="00164983"/>
    <w:rsid w:val="00165305"/>
    <w:rsid w:val="0016619A"/>
    <w:rsid w:val="00166266"/>
    <w:rsid w:val="00167511"/>
    <w:rsid w:val="00172221"/>
    <w:rsid w:val="00174D3B"/>
    <w:rsid w:val="00174F7B"/>
    <w:rsid w:val="001754BC"/>
    <w:rsid w:val="001755F8"/>
    <w:rsid w:val="0017742B"/>
    <w:rsid w:val="00182AB4"/>
    <w:rsid w:val="00182C0C"/>
    <w:rsid w:val="00184B69"/>
    <w:rsid w:val="00184EB3"/>
    <w:rsid w:val="00193D17"/>
    <w:rsid w:val="00194EE3"/>
    <w:rsid w:val="001A029E"/>
    <w:rsid w:val="001A02DF"/>
    <w:rsid w:val="001A2973"/>
    <w:rsid w:val="001A4C26"/>
    <w:rsid w:val="001A4D7F"/>
    <w:rsid w:val="001A68CB"/>
    <w:rsid w:val="001A7AE4"/>
    <w:rsid w:val="001B09A7"/>
    <w:rsid w:val="001B151F"/>
    <w:rsid w:val="001B1F30"/>
    <w:rsid w:val="001B239A"/>
    <w:rsid w:val="001B3033"/>
    <w:rsid w:val="001B351E"/>
    <w:rsid w:val="001B3DDD"/>
    <w:rsid w:val="001B5256"/>
    <w:rsid w:val="001B6414"/>
    <w:rsid w:val="001C034F"/>
    <w:rsid w:val="001C190A"/>
    <w:rsid w:val="001C34C1"/>
    <w:rsid w:val="001C3531"/>
    <w:rsid w:val="001D02CF"/>
    <w:rsid w:val="001D1267"/>
    <w:rsid w:val="001D26F0"/>
    <w:rsid w:val="001E0361"/>
    <w:rsid w:val="001E05F2"/>
    <w:rsid w:val="001E6BE0"/>
    <w:rsid w:val="001F1324"/>
    <w:rsid w:val="001F1EE9"/>
    <w:rsid w:val="001F24B9"/>
    <w:rsid w:val="001F285F"/>
    <w:rsid w:val="001F5A2F"/>
    <w:rsid w:val="001F5D51"/>
    <w:rsid w:val="001F753C"/>
    <w:rsid w:val="00201B8A"/>
    <w:rsid w:val="00203BAD"/>
    <w:rsid w:val="00204895"/>
    <w:rsid w:val="00210072"/>
    <w:rsid w:val="00211857"/>
    <w:rsid w:val="00213286"/>
    <w:rsid w:val="00213F0E"/>
    <w:rsid w:val="00213FF8"/>
    <w:rsid w:val="002160EE"/>
    <w:rsid w:val="00216DD4"/>
    <w:rsid w:val="00217B98"/>
    <w:rsid w:val="00222039"/>
    <w:rsid w:val="00222830"/>
    <w:rsid w:val="00223278"/>
    <w:rsid w:val="002235D6"/>
    <w:rsid w:val="00224D34"/>
    <w:rsid w:val="00224EDC"/>
    <w:rsid w:val="00226393"/>
    <w:rsid w:val="00226B04"/>
    <w:rsid w:val="00226D52"/>
    <w:rsid w:val="00226FCE"/>
    <w:rsid w:val="00236D0B"/>
    <w:rsid w:val="002443F8"/>
    <w:rsid w:val="00245E3F"/>
    <w:rsid w:val="002468EF"/>
    <w:rsid w:val="002471AD"/>
    <w:rsid w:val="00247507"/>
    <w:rsid w:val="00250413"/>
    <w:rsid w:val="00252A2F"/>
    <w:rsid w:val="00252CE5"/>
    <w:rsid w:val="00253084"/>
    <w:rsid w:val="00253A76"/>
    <w:rsid w:val="002548B0"/>
    <w:rsid w:val="0025573E"/>
    <w:rsid w:val="00255AE3"/>
    <w:rsid w:val="00255CE2"/>
    <w:rsid w:val="002567A9"/>
    <w:rsid w:val="00256BE6"/>
    <w:rsid w:val="00260911"/>
    <w:rsid w:val="002614A9"/>
    <w:rsid w:val="0026162C"/>
    <w:rsid w:val="00262A7A"/>
    <w:rsid w:val="00264183"/>
    <w:rsid w:val="0026503C"/>
    <w:rsid w:val="00265C27"/>
    <w:rsid w:val="00270EB9"/>
    <w:rsid w:val="00271828"/>
    <w:rsid w:val="00272A7B"/>
    <w:rsid w:val="00272DAC"/>
    <w:rsid w:val="00273409"/>
    <w:rsid w:val="002737BF"/>
    <w:rsid w:val="00274769"/>
    <w:rsid w:val="00274DED"/>
    <w:rsid w:val="0027526D"/>
    <w:rsid w:val="002779BF"/>
    <w:rsid w:val="00277E51"/>
    <w:rsid w:val="00281F08"/>
    <w:rsid w:val="002823C0"/>
    <w:rsid w:val="002823CF"/>
    <w:rsid w:val="002833F9"/>
    <w:rsid w:val="00285FBF"/>
    <w:rsid w:val="00286A5D"/>
    <w:rsid w:val="00287250"/>
    <w:rsid w:val="00287F59"/>
    <w:rsid w:val="002909A3"/>
    <w:rsid w:val="0029184B"/>
    <w:rsid w:val="00292694"/>
    <w:rsid w:val="002928DB"/>
    <w:rsid w:val="00294C5A"/>
    <w:rsid w:val="002952AE"/>
    <w:rsid w:val="002A2671"/>
    <w:rsid w:val="002A28DC"/>
    <w:rsid w:val="002A562B"/>
    <w:rsid w:val="002B1627"/>
    <w:rsid w:val="002B199A"/>
    <w:rsid w:val="002B5BFF"/>
    <w:rsid w:val="002B6EA2"/>
    <w:rsid w:val="002B755C"/>
    <w:rsid w:val="002B7ABA"/>
    <w:rsid w:val="002C2CF0"/>
    <w:rsid w:val="002C5D45"/>
    <w:rsid w:val="002C5D95"/>
    <w:rsid w:val="002C6B07"/>
    <w:rsid w:val="002C7915"/>
    <w:rsid w:val="002D0B97"/>
    <w:rsid w:val="002D27D9"/>
    <w:rsid w:val="002D2D3E"/>
    <w:rsid w:val="002D3BD2"/>
    <w:rsid w:val="002D46E3"/>
    <w:rsid w:val="002D5E02"/>
    <w:rsid w:val="002D5E21"/>
    <w:rsid w:val="002D60B5"/>
    <w:rsid w:val="002D69A3"/>
    <w:rsid w:val="002E04B3"/>
    <w:rsid w:val="002E100E"/>
    <w:rsid w:val="002E2DEB"/>
    <w:rsid w:val="002E3178"/>
    <w:rsid w:val="002E3515"/>
    <w:rsid w:val="002E4E7D"/>
    <w:rsid w:val="002E55B9"/>
    <w:rsid w:val="002E5DB5"/>
    <w:rsid w:val="002E6153"/>
    <w:rsid w:val="002E72C4"/>
    <w:rsid w:val="002F2054"/>
    <w:rsid w:val="002F3A5A"/>
    <w:rsid w:val="002F3DB6"/>
    <w:rsid w:val="002F4307"/>
    <w:rsid w:val="002F5DB4"/>
    <w:rsid w:val="002F5E26"/>
    <w:rsid w:val="003006AE"/>
    <w:rsid w:val="00301405"/>
    <w:rsid w:val="00304084"/>
    <w:rsid w:val="00304517"/>
    <w:rsid w:val="00305CDD"/>
    <w:rsid w:val="00307814"/>
    <w:rsid w:val="00310AE3"/>
    <w:rsid w:val="003110CA"/>
    <w:rsid w:val="00311ABC"/>
    <w:rsid w:val="00311E4D"/>
    <w:rsid w:val="003128B2"/>
    <w:rsid w:val="0031320C"/>
    <w:rsid w:val="0031479C"/>
    <w:rsid w:val="00314878"/>
    <w:rsid w:val="003160B2"/>
    <w:rsid w:val="00316A94"/>
    <w:rsid w:val="00320B23"/>
    <w:rsid w:val="00321F06"/>
    <w:rsid w:val="00322291"/>
    <w:rsid w:val="003241F2"/>
    <w:rsid w:val="00325042"/>
    <w:rsid w:val="00325A1D"/>
    <w:rsid w:val="00325AB4"/>
    <w:rsid w:val="00332BD4"/>
    <w:rsid w:val="003335DF"/>
    <w:rsid w:val="00336F15"/>
    <w:rsid w:val="00337307"/>
    <w:rsid w:val="0033777E"/>
    <w:rsid w:val="0034018C"/>
    <w:rsid w:val="003410B7"/>
    <w:rsid w:val="003410EC"/>
    <w:rsid w:val="00344C4C"/>
    <w:rsid w:val="00347A43"/>
    <w:rsid w:val="003509C9"/>
    <w:rsid w:val="003520CE"/>
    <w:rsid w:val="003532BD"/>
    <w:rsid w:val="00353CFB"/>
    <w:rsid w:val="00354DC7"/>
    <w:rsid w:val="00355AEB"/>
    <w:rsid w:val="003560C9"/>
    <w:rsid w:val="00356F4C"/>
    <w:rsid w:val="00360411"/>
    <w:rsid w:val="0036612D"/>
    <w:rsid w:val="00366855"/>
    <w:rsid w:val="00366B0E"/>
    <w:rsid w:val="00370364"/>
    <w:rsid w:val="00370B99"/>
    <w:rsid w:val="00373BDF"/>
    <w:rsid w:val="00373BEE"/>
    <w:rsid w:val="003742C7"/>
    <w:rsid w:val="00375FA2"/>
    <w:rsid w:val="00377C9C"/>
    <w:rsid w:val="0038062A"/>
    <w:rsid w:val="0038103B"/>
    <w:rsid w:val="00382DFD"/>
    <w:rsid w:val="0038456D"/>
    <w:rsid w:val="00385F07"/>
    <w:rsid w:val="00387417"/>
    <w:rsid w:val="00387452"/>
    <w:rsid w:val="0038752F"/>
    <w:rsid w:val="0039075C"/>
    <w:rsid w:val="003909BA"/>
    <w:rsid w:val="00390BFB"/>
    <w:rsid w:val="003969DE"/>
    <w:rsid w:val="003A03CA"/>
    <w:rsid w:val="003A0564"/>
    <w:rsid w:val="003A07A2"/>
    <w:rsid w:val="003A159F"/>
    <w:rsid w:val="003A1A27"/>
    <w:rsid w:val="003A1DC9"/>
    <w:rsid w:val="003A4434"/>
    <w:rsid w:val="003A5995"/>
    <w:rsid w:val="003A5A17"/>
    <w:rsid w:val="003A6A38"/>
    <w:rsid w:val="003A76A5"/>
    <w:rsid w:val="003A7DA5"/>
    <w:rsid w:val="003A7F86"/>
    <w:rsid w:val="003B032F"/>
    <w:rsid w:val="003B1B3B"/>
    <w:rsid w:val="003B4064"/>
    <w:rsid w:val="003B6C3B"/>
    <w:rsid w:val="003C09DF"/>
    <w:rsid w:val="003C0F5E"/>
    <w:rsid w:val="003C1DAB"/>
    <w:rsid w:val="003C4043"/>
    <w:rsid w:val="003C40EA"/>
    <w:rsid w:val="003C45BD"/>
    <w:rsid w:val="003C4D56"/>
    <w:rsid w:val="003C6D39"/>
    <w:rsid w:val="003C79C1"/>
    <w:rsid w:val="003D226B"/>
    <w:rsid w:val="003D5C58"/>
    <w:rsid w:val="003D5D3F"/>
    <w:rsid w:val="003D5EC3"/>
    <w:rsid w:val="003E0AAB"/>
    <w:rsid w:val="003E37AC"/>
    <w:rsid w:val="003E3FA5"/>
    <w:rsid w:val="003E4543"/>
    <w:rsid w:val="003E4B43"/>
    <w:rsid w:val="003E5E35"/>
    <w:rsid w:val="003E5FBC"/>
    <w:rsid w:val="003E7871"/>
    <w:rsid w:val="003F0F03"/>
    <w:rsid w:val="003F3783"/>
    <w:rsid w:val="003F3AD8"/>
    <w:rsid w:val="003F3FBD"/>
    <w:rsid w:val="003F5626"/>
    <w:rsid w:val="003F5B01"/>
    <w:rsid w:val="004008B5"/>
    <w:rsid w:val="004036CE"/>
    <w:rsid w:val="0041004C"/>
    <w:rsid w:val="00412369"/>
    <w:rsid w:val="00413880"/>
    <w:rsid w:val="004147C7"/>
    <w:rsid w:val="004174AF"/>
    <w:rsid w:val="004237BD"/>
    <w:rsid w:val="0042701D"/>
    <w:rsid w:val="00433C90"/>
    <w:rsid w:val="00433D38"/>
    <w:rsid w:val="004341D7"/>
    <w:rsid w:val="00434D2C"/>
    <w:rsid w:val="0043759C"/>
    <w:rsid w:val="004404C9"/>
    <w:rsid w:val="00447CE8"/>
    <w:rsid w:val="004527AE"/>
    <w:rsid w:val="00452A30"/>
    <w:rsid w:val="004540CE"/>
    <w:rsid w:val="00454DAA"/>
    <w:rsid w:val="004563CF"/>
    <w:rsid w:val="0046043A"/>
    <w:rsid w:val="00462B29"/>
    <w:rsid w:val="00471003"/>
    <w:rsid w:val="0047339C"/>
    <w:rsid w:val="0047455C"/>
    <w:rsid w:val="0047750C"/>
    <w:rsid w:val="00481789"/>
    <w:rsid w:val="004817C2"/>
    <w:rsid w:val="00483A72"/>
    <w:rsid w:val="004844F5"/>
    <w:rsid w:val="00485BE2"/>
    <w:rsid w:val="0048761A"/>
    <w:rsid w:val="00487CE4"/>
    <w:rsid w:val="004907DD"/>
    <w:rsid w:val="00491334"/>
    <w:rsid w:val="00491725"/>
    <w:rsid w:val="0049228A"/>
    <w:rsid w:val="00492D18"/>
    <w:rsid w:val="004938E1"/>
    <w:rsid w:val="0049409D"/>
    <w:rsid w:val="00495FAE"/>
    <w:rsid w:val="0049727C"/>
    <w:rsid w:val="00497BC8"/>
    <w:rsid w:val="004A1D04"/>
    <w:rsid w:val="004A4D66"/>
    <w:rsid w:val="004A52D6"/>
    <w:rsid w:val="004A53D8"/>
    <w:rsid w:val="004A771E"/>
    <w:rsid w:val="004A7775"/>
    <w:rsid w:val="004A7D6B"/>
    <w:rsid w:val="004B1893"/>
    <w:rsid w:val="004B1D4A"/>
    <w:rsid w:val="004B42AA"/>
    <w:rsid w:val="004B4893"/>
    <w:rsid w:val="004B57DC"/>
    <w:rsid w:val="004B5F07"/>
    <w:rsid w:val="004B60B2"/>
    <w:rsid w:val="004B6F96"/>
    <w:rsid w:val="004C3243"/>
    <w:rsid w:val="004C3907"/>
    <w:rsid w:val="004C776A"/>
    <w:rsid w:val="004D13ED"/>
    <w:rsid w:val="004D4016"/>
    <w:rsid w:val="004D4A11"/>
    <w:rsid w:val="004D6332"/>
    <w:rsid w:val="004D7F30"/>
    <w:rsid w:val="004D7FF1"/>
    <w:rsid w:val="004E0F56"/>
    <w:rsid w:val="004E1377"/>
    <w:rsid w:val="004E2D1A"/>
    <w:rsid w:val="004E5645"/>
    <w:rsid w:val="004E6845"/>
    <w:rsid w:val="004F3695"/>
    <w:rsid w:val="004F70A3"/>
    <w:rsid w:val="004F7C80"/>
    <w:rsid w:val="005033AC"/>
    <w:rsid w:val="00503D2D"/>
    <w:rsid w:val="00505C74"/>
    <w:rsid w:val="00505CE3"/>
    <w:rsid w:val="00514D89"/>
    <w:rsid w:val="00520D64"/>
    <w:rsid w:val="005231AA"/>
    <w:rsid w:val="00523383"/>
    <w:rsid w:val="005255C5"/>
    <w:rsid w:val="00527EF0"/>
    <w:rsid w:val="00533B78"/>
    <w:rsid w:val="00534650"/>
    <w:rsid w:val="005346BC"/>
    <w:rsid w:val="005349D8"/>
    <w:rsid w:val="00535370"/>
    <w:rsid w:val="005360C2"/>
    <w:rsid w:val="00537599"/>
    <w:rsid w:val="00542B14"/>
    <w:rsid w:val="005433D5"/>
    <w:rsid w:val="00544BCD"/>
    <w:rsid w:val="00545F4B"/>
    <w:rsid w:val="00546ACA"/>
    <w:rsid w:val="005509AB"/>
    <w:rsid w:val="00551810"/>
    <w:rsid w:val="005529E3"/>
    <w:rsid w:val="00553CA5"/>
    <w:rsid w:val="0055426E"/>
    <w:rsid w:val="00557ED3"/>
    <w:rsid w:val="00561432"/>
    <w:rsid w:val="0056216E"/>
    <w:rsid w:val="00564184"/>
    <w:rsid w:val="0056557D"/>
    <w:rsid w:val="00565ADC"/>
    <w:rsid w:val="00571B04"/>
    <w:rsid w:val="00572050"/>
    <w:rsid w:val="00572648"/>
    <w:rsid w:val="00573ED2"/>
    <w:rsid w:val="00574497"/>
    <w:rsid w:val="00574CB6"/>
    <w:rsid w:val="00576996"/>
    <w:rsid w:val="005808EF"/>
    <w:rsid w:val="00580A9F"/>
    <w:rsid w:val="00583378"/>
    <w:rsid w:val="00585873"/>
    <w:rsid w:val="005862CC"/>
    <w:rsid w:val="0059073B"/>
    <w:rsid w:val="00590E34"/>
    <w:rsid w:val="005918EE"/>
    <w:rsid w:val="00592014"/>
    <w:rsid w:val="0059261F"/>
    <w:rsid w:val="0059407E"/>
    <w:rsid w:val="00595433"/>
    <w:rsid w:val="00595D42"/>
    <w:rsid w:val="00595D61"/>
    <w:rsid w:val="005A0913"/>
    <w:rsid w:val="005A0E67"/>
    <w:rsid w:val="005A13EF"/>
    <w:rsid w:val="005A3A40"/>
    <w:rsid w:val="005A657B"/>
    <w:rsid w:val="005A6D76"/>
    <w:rsid w:val="005A766D"/>
    <w:rsid w:val="005B205C"/>
    <w:rsid w:val="005B22AC"/>
    <w:rsid w:val="005B3407"/>
    <w:rsid w:val="005B3CF6"/>
    <w:rsid w:val="005B5451"/>
    <w:rsid w:val="005B59C2"/>
    <w:rsid w:val="005B686F"/>
    <w:rsid w:val="005C0DB5"/>
    <w:rsid w:val="005C0EF8"/>
    <w:rsid w:val="005C4F7B"/>
    <w:rsid w:val="005C63F6"/>
    <w:rsid w:val="005D194C"/>
    <w:rsid w:val="005D2418"/>
    <w:rsid w:val="005D30D9"/>
    <w:rsid w:val="005D7249"/>
    <w:rsid w:val="005D7EF7"/>
    <w:rsid w:val="005E0E45"/>
    <w:rsid w:val="005E3AA9"/>
    <w:rsid w:val="005E49FB"/>
    <w:rsid w:val="005F0323"/>
    <w:rsid w:val="005F21CF"/>
    <w:rsid w:val="005F36BB"/>
    <w:rsid w:val="005F5CC9"/>
    <w:rsid w:val="005F5D9C"/>
    <w:rsid w:val="005F5F68"/>
    <w:rsid w:val="005F76C7"/>
    <w:rsid w:val="00601C5C"/>
    <w:rsid w:val="00603FD5"/>
    <w:rsid w:val="006043AD"/>
    <w:rsid w:val="00604FDD"/>
    <w:rsid w:val="0060733D"/>
    <w:rsid w:val="00607569"/>
    <w:rsid w:val="00610A2C"/>
    <w:rsid w:val="006117F9"/>
    <w:rsid w:val="0061395A"/>
    <w:rsid w:val="00614CAC"/>
    <w:rsid w:val="00615220"/>
    <w:rsid w:val="00616A60"/>
    <w:rsid w:val="0062146C"/>
    <w:rsid w:val="00621FEF"/>
    <w:rsid w:val="00622FF9"/>
    <w:rsid w:val="00624404"/>
    <w:rsid w:val="006260F3"/>
    <w:rsid w:val="00626F06"/>
    <w:rsid w:val="00627348"/>
    <w:rsid w:val="006308F6"/>
    <w:rsid w:val="00630C86"/>
    <w:rsid w:val="00634CCB"/>
    <w:rsid w:val="00634DC6"/>
    <w:rsid w:val="00634F34"/>
    <w:rsid w:val="00635169"/>
    <w:rsid w:val="0063710B"/>
    <w:rsid w:val="00637207"/>
    <w:rsid w:val="00640790"/>
    <w:rsid w:val="00641C35"/>
    <w:rsid w:val="00642A62"/>
    <w:rsid w:val="00642B7A"/>
    <w:rsid w:val="00642D2D"/>
    <w:rsid w:val="00643F92"/>
    <w:rsid w:val="00646169"/>
    <w:rsid w:val="00650A26"/>
    <w:rsid w:val="00650E1B"/>
    <w:rsid w:val="00650E27"/>
    <w:rsid w:val="00653E5B"/>
    <w:rsid w:val="006609DA"/>
    <w:rsid w:val="0066327B"/>
    <w:rsid w:val="006648AA"/>
    <w:rsid w:val="006650E6"/>
    <w:rsid w:val="006656F5"/>
    <w:rsid w:val="006660D0"/>
    <w:rsid w:val="0066678B"/>
    <w:rsid w:val="0066768D"/>
    <w:rsid w:val="0066793D"/>
    <w:rsid w:val="00670988"/>
    <w:rsid w:val="00673434"/>
    <w:rsid w:val="006744D8"/>
    <w:rsid w:val="00674A42"/>
    <w:rsid w:val="006754CF"/>
    <w:rsid w:val="00675DDD"/>
    <w:rsid w:val="00677141"/>
    <w:rsid w:val="006801C4"/>
    <w:rsid w:val="006808B3"/>
    <w:rsid w:val="00681420"/>
    <w:rsid w:val="00681C29"/>
    <w:rsid w:val="00682A09"/>
    <w:rsid w:val="00684397"/>
    <w:rsid w:val="00685218"/>
    <w:rsid w:val="00685D59"/>
    <w:rsid w:val="0068716C"/>
    <w:rsid w:val="0068767A"/>
    <w:rsid w:val="00687EB6"/>
    <w:rsid w:val="00691914"/>
    <w:rsid w:val="0069329B"/>
    <w:rsid w:val="00695471"/>
    <w:rsid w:val="0069551B"/>
    <w:rsid w:val="006A0865"/>
    <w:rsid w:val="006A2C0E"/>
    <w:rsid w:val="006A2EFD"/>
    <w:rsid w:val="006A2F2A"/>
    <w:rsid w:val="006A42F5"/>
    <w:rsid w:val="006A59F3"/>
    <w:rsid w:val="006A6B79"/>
    <w:rsid w:val="006A6D82"/>
    <w:rsid w:val="006A6DCC"/>
    <w:rsid w:val="006B279E"/>
    <w:rsid w:val="006B385C"/>
    <w:rsid w:val="006B4FF4"/>
    <w:rsid w:val="006C002D"/>
    <w:rsid w:val="006C203C"/>
    <w:rsid w:val="006C36B1"/>
    <w:rsid w:val="006C40F8"/>
    <w:rsid w:val="006D10C9"/>
    <w:rsid w:val="006D12B1"/>
    <w:rsid w:val="006D24A6"/>
    <w:rsid w:val="006D2F39"/>
    <w:rsid w:val="006D37F1"/>
    <w:rsid w:val="006D44D5"/>
    <w:rsid w:val="006D476C"/>
    <w:rsid w:val="006D4847"/>
    <w:rsid w:val="006D49A2"/>
    <w:rsid w:val="006D626A"/>
    <w:rsid w:val="006D63E5"/>
    <w:rsid w:val="006D7024"/>
    <w:rsid w:val="006D7ECA"/>
    <w:rsid w:val="006E0214"/>
    <w:rsid w:val="006E3732"/>
    <w:rsid w:val="006E488C"/>
    <w:rsid w:val="006F1D13"/>
    <w:rsid w:val="006F24F2"/>
    <w:rsid w:val="006F2B23"/>
    <w:rsid w:val="006F32B5"/>
    <w:rsid w:val="006F5D72"/>
    <w:rsid w:val="006F6A56"/>
    <w:rsid w:val="00700255"/>
    <w:rsid w:val="00702463"/>
    <w:rsid w:val="00704142"/>
    <w:rsid w:val="00705006"/>
    <w:rsid w:val="007115CF"/>
    <w:rsid w:val="0071223E"/>
    <w:rsid w:val="00712560"/>
    <w:rsid w:val="00713CC7"/>
    <w:rsid w:val="007141EE"/>
    <w:rsid w:val="00715711"/>
    <w:rsid w:val="007215BA"/>
    <w:rsid w:val="00721C5B"/>
    <w:rsid w:val="00723301"/>
    <w:rsid w:val="00723C3C"/>
    <w:rsid w:val="007244FD"/>
    <w:rsid w:val="007257CB"/>
    <w:rsid w:val="00727627"/>
    <w:rsid w:val="00727D73"/>
    <w:rsid w:val="007321D5"/>
    <w:rsid w:val="007355E7"/>
    <w:rsid w:val="00735953"/>
    <w:rsid w:val="00735F17"/>
    <w:rsid w:val="00737CB0"/>
    <w:rsid w:val="0074034F"/>
    <w:rsid w:val="00741EF3"/>
    <w:rsid w:val="0074227F"/>
    <w:rsid w:val="00742CD3"/>
    <w:rsid w:val="007437BD"/>
    <w:rsid w:val="00745D87"/>
    <w:rsid w:val="0074616E"/>
    <w:rsid w:val="00746C1C"/>
    <w:rsid w:val="00747765"/>
    <w:rsid w:val="00747BE6"/>
    <w:rsid w:val="00747EA7"/>
    <w:rsid w:val="00750E96"/>
    <w:rsid w:val="00751C68"/>
    <w:rsid w:val="007567F5"/>
    <w:rsid w:val="0075687A"/>
    <w:rsid w:val="007573FD"/>
    <w:rsid w:val="007616E8"/>
    <w:rsid w:val="007638C4"/>
    <w:rsid w:val="00764787"/>
    <w:rsid w:val="00765F2F"/>
    <w:rsid w:val="007701A2"/>
    <w:rsid w:val="007706A7"/>
    <w:rsid w:val="00776696"/>
    <w:rsid w:val="00776D03"/>
    <w:rsid w:val="007801C8"/>
    <w:rsid w:val="0078353B"/>
    <w:rsid w:val="00783976"/>
    <w:rsid w:val="00783D3B"/>
    <w:rsid w:val="00784571"/>
    <w:rsid w:val="00784D16"/>
    <w:rsid w:val="00785AB8"/>
    <w:rsid w:val="0079093E"/>
    <w:rsid w:val="007935C1"/>
    <w:rsid w:val="00793B0D"/>
    <w:rsid w:val="0079471F"/>
    <w:rsid w:val="007A16A0"/>
    <w:rsid w:val="007A1C4D"/>
    <w:rsid w:val="007A290E"/>
    <w:rsid w:val="007A56CA"/>
    <w:rsid w:val="007B17F1"/>
    <w:rsid w:val="007B6284"/>
    <w:rsid w:val="007C39FF"/>
    <w:rsid w:val="007C4684"/>
    <w:rsid w:val="007C6E1D"/>
    <w:rsid w:val="007D0987"/>
    <w:rsid w:val="007D0DAC"/>
    <w:rsid w:val="007D18E2"/>
    <w:rsid w:val="007D1F03"/>
    <w:rsid w:val="007D31C9"/>
    <w:rsid w:val="007D4211"/>
    <w:rsid w:val="007D49E1"/>
    <w:rsid w:val="007D5BF4"/>
    <w:rsid w:val="007D6437"/>
    <w:rsid w:val="007E0EB7"/>
    <w:rsid w:val="007E25E6"/>
    <w:rsid w:val="007E67EC"/>
    <w:rsid w:val="007F067C"/>
    <w:rsid w:val="007F3482"/>
    <w:rsid w:val="007F3647"/>
    <w:rsid w:val="007F509E"/>
    <w:rsid w:val="007F54FC"/>
    <w:rsid w:val="007F58DD"/>
    <w:rsid w:val="007F5D2C"/>
    <w:rsid w:val="008007AE"/>
    <w:rsid w:val="00802432"/>
    <w:rsid w:val="008032E8"/>
    <w:rsid w:val="00803B0A"/>
    <w:rsid w:val="00810541"/>
    <w:rsid w:val="00810DBC"/>
    <w:rsid w:val="008113A8"/>
    <w:rsid w:val="008144DC"/>
    <w:rsid w:val="00817ABE"/>
    <w:rsid w:val="008204A7"/>
    <w:rsid w:val="008213F5"/>
    <w:rsid w:val="00821C4D"/>
    <w:rsid w:val="008229EA"/>
    <w:rsid w:val="008241D1"/>
    <w:rsid w:val="0082533A"/>
    <w:rsid w:val="00825C6F"/>
    <w:rsid w:val="00826F22"/>
    <w:rsid w:val="008317B2"/>
    <w:rsid w:val="0083337F"/>
    <w:rsid w:val="00833F54"/>
    <w:rsid w:val="008347B5"/>
    <w:rsid w:val="00834D8A"/>
    <w:rsid w:val="008369E5"/>
    <w:rsid w:val="00836AED"/>
    <w:rsid w:val="00836C20"/>
    <w:rsid w:val="00837CCD"/>
    <w:rsid w:val="00840AC9"/>
    <w:rsid w:val="00840CC3"/>
    <w:rsid w:val="00840E0A"/>
    <w:rsid w:val="00841AED"/>
    <w:rsid w:val="0084756A"/>
    <w:rsid w:val="00850193"/>
    <w:rsid w:val="00850F83"/>
    <w:rsid w:val="00852B3C"/>
    <w:rsid w:val="00852B88"/>
    <w:rsid w:val="008576E8"/>
    <w:rsid w:val="00857EAF"/>
    <w:rsid w:val="00862925"/>
    <w:rsid w:val="008632F9"/>
    <w:rsid w:val="00863B93"/>
    <w:rsid w:val="00866E21"/>
    <w:rsid w:val="00867378"/>
    <w:rsid w:val="00867B1F"/>
    <w:rsid w:val="00872BA7"/>
    <w:rsid w:val="008733A9"/>
    <w:rsid w:val="00874251"/>
    <w:rsid w:val="00876A3F"/>
    <w:rsid w:val="008823C8"/>
    <w:rsid w:val="008828A5"/>
    <w:rsid w:val="0088744F"/>
    <w:rsid w:val="00887E8B"/>
    <w:rsid w:val="00890595"/>
    <w:rsid w:val="00890857"/>
    <w:rsid w:val="0089332C"/>
    <w:rsid w:val="008A53ED"/>
    <w:rsid w:val="008A6642"/>
    <w:rsid w:val="008A723D"/>
    <w:rsid w:val="008B0A7E"/>
    <w:rsid w:val="008B1B08"/>
    <w:rsid w:val="008B3B25"/>
    <w:rsid w:val="008B5601"/>
    <w:rsid w:val="008B58D4"/>
    <w:rsid w:val="008B763E"/>
    <w:rsid w:val="008B7966"/>
    <w:rsid w:val="008B7CA5"/>
    <w:rsid w:val="008C1155"/>
    <w:rsid w:val="008C1305"/>
    <w:rsid w:val="008C1816"/>
    <w:rsid w:val="008C1B1B"/>
    <w:rsid w:val="008D1BDE"/>
    <w:rsid w:val="008D3543"/>
    <w:rsid w:val="008D631B"/>
    <w:rsid w:val="008D681E"/>
    <w:rsid w:val="008E087E"/>
    <w:rsid w:val="008E1873"/>
    <w:rsid w:val="008E2A0E"/>
    <w:rsid w:val="008E376A"/>
    <w:rsid w:val="008E39A9"/>
    <w:rsid w:val="008E3BB0"/>
    <w:rsid w:val="008E3FB5"/>
    <w:rsid w:val="008E5885"/>
    <w:rsid w:val="008E7393"/>
    <w:rsid w:val="008E7ED9"/>
    <w:rsid w:val="008F055A"/>
    <w:rsid w:val="008F0F0D"/>
    <w:rsid w:val="008F122A"/>
    <w:rsid w:val="008F19B5"/>
    <w:rsid w:val="008F1CF4"/>
    <w:rsid w:val="008F1FA7"/>
    <w:rsid w:val="008F36A3"/>
    <w:rsid w:val="008F4F82"/>
    <w:rsid w:val="008F6370"/>
    <w:rsid w:val="008F6DEF"/>
    <w:rsid w:val="008F6F38"/>
    <w:rsid w:val="00900614"/>
    <w:rsid w:val="0090062B"/>
    <w:rsid w:val="00903165"/>
    <w:rsid w:val="009036FC"/>
    <w:rsid w:val="009159EA"/>
    <w:rsid w:val="0092100A"/>
    <w:rsid w:val="00922C7C"/>
    <w:rsid w:val="0092332A"/>
    <w:rsid w:val="009239BC"/>
    <w:rsid w:val="009250AE"/>
    <w:rsid w:val="00926E3C"/>
    <w:rsid w:val="00927B52"/>
    <w:rsid w:val="009301F9"/>
    <w:rsid w:val="00930CD9"/>
    <w:rsid w:val="00930E9C"/>
    <w:rsid w:val="00931DB1"/>
    <w:rsid w:val="00932ECF"/>
    <w:rsid w:val="0093313C"/>
    <w:rsid w:val="00933A4B"/>
    <w:rsid w:val="00933BA6"/>
    <w:rsid w:val="00934A35"/>
    <w:rsid w:val="0093631F"/>
    <w:rsid w:val="00936F14"/>
    <w:rsid w:val="00937EB6"/>
    <w:rsid w:val="00943A19"/>
    <w:rsid w:val="00944358"/>
    <w:rsid w:val="00944BF4"/>
    <w:rsid w:val="00945421"/>
    <w:rsid w:val="0095036F"/>
    <w:rsid w:val="009503E3"/>
    <w:rsid w:val="0095072E"/>
    <w:rsid w:val="009512DE"/>
    <w:rsid w:val="009524D1"/>
    <w:rsid w:val="0095344E"/>
    <w:rsid w:val="00953565"/>
    <w:rsid w:val="009650FE"/>
    <w:rsid w:val="00966108"/>
    <w:rsid w:val="009709F5"/>
    <w:rsid w:val="00970FD9"/>
    <w:rsid w:val="00972440"/>
    <w:rsid w:val="00974D27"/>
    <w:rsid w:val="0097771B"/>
    <w:rsid w:val="00977DB6"/>
    <w:rsid w:val="00981BCE"/>
    <w:rsid w:val="00981BD9"/>
    <w:rsid w:val="00982C97"/>
    <w:rsid w:val="00984446"/>
    <w:rsid w:val="00984527"/>
    <w:rsid w:val="0098601C"/>
    <w:rsid w:val="00987402"/>
    <w:rsid w:val="00990C8A"/>
    <w:rsid w:val="00990CC3"/>
    <w:rsid w:val="00993E61"/>
    <w:rsid w:val="00993EDC"/>
    <w:rsid w:val="00994529"/>
    <w:rsid w:val="00994F7D"/>
    <w:rsid w:val="00995DD3"/>
    <w:rsid w:val="00996840"/>
    <w:rsid w:val="009A07EE"/>
    <w:rsid w:val="009A4073"/>
    <w:rsid w:val="009A4F87"/>
    <w:rsid w:val="009A5274"/>
    <w:rsid w:val="009A6339"/>
    <w:rsid w:val="009A6372"/>
    <w:rsid w:val="009A63A8"/>
    <w:rsid w:val="009A6625"/>
    <w:rsid w:val="009A6E6A"/>
    <w:rsid w:val="009A74FF"/>
    <w:rsid w:val="009B0ECB"/>
    <w:rsid w:val="009B1955"/>
    <w:rsid w:val="009B41BB"/>
    <w:rsid w:val="009B69C1"/>
    <w:rsid w:val="009C0A52"/>
    <w:rsid w:val="009C2EB4"/>
    <w:rsid w:val="009C31C8"/>
    <w:rsid w:val="009C35A1"/>
    <w:rsid w:val="009C4613"/>
    <w:rsid w:val="009C5F10"/>
    <w:rsid w:val="009C64CD"/>
    <w:rsid w:val="009C6C3E"/>
    <w:rsid w:val="009D4494"/>
    <w:rsid w:val="009D4966"/>
    <w:rsid w:val="009D60CC"/>
    <w:rsid w:val="009D695F"/>
    <w:rsid w:val="009D6EBB"/>
    <w:rsid w:val="009E0DB1"/>
    <w:rsid w:val="009E12A3"/>
    <w:rsid w:val="009E3440"/>
    <w:rsid w:val="009E37F5"/>
    <w:rsid w:val="009E39A6"/>
    <w:rsid w:val="009E3EAD"/>
    <w:rsid w:val="009E7C90"/>
    <w:rsid w:val="009F0364"/>
    <w:rsid w:val="009F1333"/>
    <w:rsid w:val="009F1B1E"/>
    <w:rsid w:val="009F206B"/>
    <w:rsid w:val="009F2482"/>
    <w:rsid w:val="009F2D15"/>
    <w:rsid w:val="009F47A5"/>
    <w:rsid w:val="009F5471"/>
    <w:rsid w:val="009F5D6E"/>
    <w:rsid w:val="009F697D"/>
    <w:rsid w:val="009F76F8"/>
    <w:rsid w:val="00A02C13"/>
    <w:rsid w:val="00A06636"/>
    <w:rsid w:val="00A101AB"/>
    <w:rsid w:val="00A13195"/>
    <w:rsid w:val="00A1403E"/>
    <w:rsid w:val="00A149F3"/>
    <w:rsid w:val="00A21F87"/>
    <w:rsid w:val="00A227CD"/>
    <w:rsid w:val="00A23057"/>
    <w:rsid w:val="00A240B5"/>
    <w:rsid w:val="00A27753"/>
    <w:rsid w:val="00A30F60"/>
    <w:rsid w:val="00A323EB"/>
    <w:rsid w:val="00A33D11"/>
    <w:rsid w:val="00A340E8"/>
    <w:rsid w:val="00A34110"/>
    <w:rsid w:val="00A34253"/>
    <w:rsid w:val="00A35AD4"/>
    <w:rsid w:val="00A41B13"/>
    <w:rsid w:val="00A42728"/>
    <w:rsid w:val="00A42766"/>
    <w:rsid w:val="00A42AFB"/>
    <w:rsid w:val="00A44363"/>
    <w:rsid w:val="00A4510B"/>
    <w:rsid w:val="00A512B8"/>
    <w:rsid w:val="00A51D30"/>
    <w:rsid w:val="00A52C92"/>
    <w:rsid w:val="00A56194"/>
    <w:rsid w:val="00A61A04"/>
    <w:rsid w:val="00A620FB"/>
    <w:rsid w:val="00A63F91"/>
    <w:rsid w:val="00A6496C"/>
    <w:rsid w:val="00A65264"/>
    <w:rsid w:val="00A70B3E"/>
    <w:rsid w:val="00A71060"/>
    <w:rsid w:val="00A71D05"/>
    <w:rsid w:val="00A72C6C"/>
    <w:rsid w:val="00A73640"/>
    <w:rsid w:val="00A73C6D"/>
    <w:rsid w:val="00A73D81"/>
    <w:rsid w:val="00A75269"/>
    <w:rsid w:val="00A75B62"/>
    <w:rsid w:val="00A7723B"/>
    <w:rsid w:val="00A80679"/>
    <w:rsid w:val="00A80DAD"/>
    <w:rsid w:val="00A82958"/>
    <w:rsid w:val="00A82ADB"/>
    <w:rsid w:val="00A8337C"/>
    <w:rsid w:val="00A85FA1"/>
    <w:rsid w:val="00A85FB2"/>
    <w:rsid w:val="00A866A2"/>
    <w:rsid w:val="00A877B9"/>
    <w:rsid w:val="00A90540"/>
    <w:rsid w:val="00A91160"/>
    <w:rsid w:val="00A911B7"/>
    <w:rsid w:val="00A921FC"/>
    <w:rsid w:val="00A92275"/>
    <w:rsid w:val="00A93419"/>
    <w:rsid w:val="00A942D9"/>
    <w:rsid w:val="00A96F38"/>
    <w:rsid w:val="00A96F73"/>
    <w:rsid w:val="00A9757A"/>
    <w:rsid w:val="00AA0ECA"/>
    <w:rsid w:val="00AA28D0"/>
    <w:rsid w:val="00AA6586"/>
    <w:rsid w:val="00AB120B"/>
    <w:rsid w:val="00AB161E"/>
    <w:rsid w:val="00AB1AC2"/>
    <w:rsid w:val="00AB1D31"/>
    <w:rsid w:val="00AB354B"/>
    <w:rsid w:val="00AB3A33"/>
    <w:rsid w:val="00AB7A08"/>
    <w:rsid w:val="00AC259B"/>
    <w:rsid w:val="00AC2DEA"/>
    <w:rsid w:val="00AC365A"/>
    <w:rsid w:val="00AC3B74"/>
    <w:rsid w:val="00AC4574"/>
    <w:rsid w:val="00AC49B1"/>
    <w:rsid w:val="00AC581D"/>
    <w:rsid w:val="00AC59A5"/>
    <w:rsid w:val="00AC5B6B"/>
    <w:rsid w:val="00AC6A6E"/>
    <w:rsid w:val="00AC70F1"/>
    <w:rsid w:val="00AC7720"/>
    <w:rsid w:val="00AC7A3F"/>
    <w:rsid w:val="00AD012B"/>
    <w:rsid w:val="00AD0C4A"/>
    <w:rsid w:val="00AD0DA9"/>
    <w:rsid w:val="00AD20BB"/>
    <w:rsid w:val="00AD385D"/>
    <w:rsid w:val="00AD42B2"/>
    <w:rsid w:val="00AD6723"/>
    <w:rsid w:val="00AD678E"/>
    <w:rsid w:val="00AE1433"/>
    <w:rsid w:val="00AE3933"/>
    <w:rsid w:val="00AE6906"/>
    <w:rsid w:val="00AE6BA6"/>
    <w:rsid w:val="00AF09DD"/>
    <w:rsid w:val="00AF0A2A"/>
    <w:rsid w:val="00AF10D1"/>
    <w:rsid w:val="00AF1406"/>
    <w:rsid w:val="00AF4D89"/>
    <w:rsid w:val="00AF4E94"/>
    <w:rsid w:val="00AF552C"/>
    <w:rsid w:val="00AF7CC4"/>
    <w:rsid w:val="00AF7FDD"/>
    <w:rsid w:val="00B00012"/>
    <w:rsid w:val="00B0240F"/>
    <w:rsid w:val="00B02AC4"/>
    <w:rsid w:val="00B03786"/>
    <w:rsid w:val="00B03806"/>
    <w:rsid w:val="00B04AB1"/>
    <w:rsid w:val="00B05B60"/>
    <w:rsid w:val="00B05CC1"/>
    <w:rsid w:val="00B06B46"/>
    <w:rsid w:val="00B0759F"/>
    <w:rsid w:val="00B13F22"/>
    <w:rsid w:val="00B1453F"/>
    <w:rsid w:val="00B1502D"/>
    <w:rsid w:val="00B15DE3"/>
    <w:rsid w:val="00B16486"/>
    <w:rsid w:val="00B1688D"/>
    <w:rsid w:val="00B175E4"/>
    <w:rsid w:val="00B179A3"/>
    <w:rsid w:val="00B23A5A"/>
    <w:rsid w:val="00B2524E"/>
    <w:rsid w:val="00B32433"/>
    <w:rsid w:val="00B349B8"/>
    <w:rsid w:val="00B40786"/>
    <w:rsid w:val="00B40BE6"/>
    <w:rsid w:val="00B41C6F"/>
    <w:rsid w:val="00B42EBA"/>
    <w:rsid w:val="00B451BE"/>
    <w:rsid w:val="00B47E13"/>
    <w:rsid w:val="00B50507"/>
    <w:rsid w:val="00B51B66"/>
    <w:rsid w:val="00B522E8"/>
    <w:rsid w:val="00B528AC"/>
    <w:rsid w:val="00B6073C"/>
    <w:rsid w:val="00B61B07"/>
    <w:rsid w:val="00B624CF"/>
    <w:rsid w:val="00B63F59"/>
    <w:rsid w:val="00B64D70"/>
    <w:rsid w:val="00B663F3"/>
    <w:rsid w:val="00B66F9D"/>
    <w:rsid w:val="00B671DD"/>
    <w:rsid w:val="00B70452"/>
    <w:rsid w:val="00B71117"/>
    <w:rsid w:val="00B71B2C"/>
    <w:rsid w:val="00B73112"/>
    <w:rsid w:val="00B74069"/>
    <w:rsid w:val="00B74CCF"/>
    <w:rsid w:val="00B75EBD"/>
    <w:rsid w:val="00B75F70"/>
    <w:rsid w:val="00B81673"/>
    <w:rsid w:val="00B819B0"/>
    <w:rsid w:val="00B81F87"/>
    <w:rsid w:val="00B85264"/>
    <w:rsid w:val="00B86F2E"/>
    <w:rsid w:val="00B90A6B"/>
    <w:rsid w:val="00B917AF"/>
    <w:rsid w:val="00B9272C"/>
    <w:rsid w:val="00B9556B"/>
    <w:rsid w:val="00B96F80"/>
    <w:rsid w:val="00B97171"/>
    <w:rsid w:val="00B97684"/>
    <w:rsid w:val="00BA04BF"/>
    <w:rsid w:val="00BA3012"/>
    <w:rsid w:val="00BA3BDB"/>
    <w:rsid w:val="00BA3F49"/>
    <w:rsid w:val="00BA427F"/>
    <w:rsid w:val="00BA6470"/>
    <w:rsid w:val="00BA69CC"/>
    <w:rsid w:val="00BA6EC1"/>
    <w:rsid w:val="00BA7890"/>
    <w:rsid w:val="00BB0698"/>
    <w:rsid w:val="00BB3E6C"/>
    <w:rsid w:val="00BB4568"/>
    <w:rsid w:val="00BB48FB"/>
    <w:rsid w:val="00BB4D9A"/>
    <w:rsid w:val="00BB560C"/>
    <w:rsid w:val="00BB642F"/>
    <w:rsid w:val="00BB76B9"/>
    <w:rsid w:val="00BC33D6"/>
    <w:rsid w:val="00BC4AA2"/>
    <w:rsid w:val="00BC7985"/>
    <w:rsid w:val="00BD0AE7"/>
    <w:rsid w:val="00BD5233"/>
    <w:rsid w:val="00BD69A4"/>
    <w:rsid w:val="00BD7658"/>
    <w:rsid w:val="00BD7B96"/>
    <w:rsid w:val="00BE0348"/>
    <w:rsid w:val="00BE1DBC"/>
    <w:rsid w:val="00BE2DFC"/>
    <w:rsid w:val="00BE3E22"/>
    <w:rsid w:val="00BE452B"/>
    <w:rsid w:val="00BE4C96"/>
    <w:rsid w:val="00BE5350"/>
    <w:rsid w:val="00BE5744"/>
    <w:rsid w:val="00BE731E"/>
    <w:rsid w:val="00BF5C26"/>
    <w:rsid w:val="00BF7AD0"/>
    <w:rsid w:val="00C00F61"/>
    <w:rsid w:val="00C016AB"/>
    <w:rsid w:val="00C01726"/>
    <w:rsid w:val="00C036BE"/>
    <w:rsid w:val="00C04647"/>
    <w:rsid w:val="00C048C1"/>
    <w:rsid w:val="00C04B16"/>
    <w:rsid w:val="00C04D36"/>
    <w:rsid w:val="00C05467"/>
    <w:rsid w:val="00C11198"/>
    <w:rsid w:val="00C12D8E"/>
    <w:rsid w:val="00C12F96"/>
    <w:rsid w:val="00C14231"/>
    <w:rsid w:val="00C16469"/>
    <w:rsid w:val="00C17588"/>
    <w:rsid w:val="00C17FE7"/>
    <w:rsid w:val="00C21425"/>
    <w:rsid w:val="00C21449"/>
    <w:rsid w:val="00C21AA8"/>
    <w:rsid w:val="00C23772"/>
    <w:rsid w:val="00C248B1"/>
    <w:rsid w:val="00C254EF"/>
    <w:rsid w:val="00C2688D"/>
    <w:rsid w:val="00C30410"/>
    <w:rsid w:val="00C305F4"/>
    <w:rsid w:val="00C31EEB"/>
    <w:rsid w:val="00C32E5A"/>
    <w:rsid w:val="00C33C04"/>
    <w:rsid w:val="00C34149"/>
    <w:rsid w:val="00C35671"/>
    <w:rsid w:val="00C35789"/>
    <w:rsid w:val="00C363BC"/>
    <w:rsid w:val="00C402C2"/>
    <w:rsid w:val="00C410EC"/>
    <w:rsid w:val="00C41108"/>
    <w:rsid w:val="00C41E15"/>
    <w:rsid w:val="00C43DAF"/>
    <w:rsid w:val="00C451C9"/>
    <w:rsid w:val="00C45AF2"/>
    <w:rsid w:val="00C46B8D"/>
    <w:rsid w:val="00C51E6F"/>
    <w:rsid w:val="00C51FE0"/>
    <w:rsid w:val="00C52700"/>
    <w:rsid w:val="00C54B0E"/>
    <w:rsid w:val="00C55615"/>
    <w:rsid w:val="00C56062"/>
    <w:rsid w:val="00C600D5"/>
    <w:rsid w:val="00C607F6"/>
    <w:rsid w:val="00C61373"/>
    <w:rsid w:val="00C623E9"/>
    <w:rsid w:val="00C62674"/>
    <w:rsid w:val="00C62F9D"/>
    <w:rsid w:val="00C634D5"/>
    <w:rsid w:val="00C6618D"/>
    <w:rsid w:val="00C66E05"/>
    <w:rsid w:val="00C72481"/>
    <w:rsid w:val="00C73012"/>
    <w:rsid w:val="00C7413A"/>
    <w:rsid w:val="00C75F0A"/>
    <w:rsid w:val="00C7683A"/>
    <w:rsid w:val="00C8010C"/>
    <w:rsid w:val="00C8501C"/>
    <w:rsid w:val="00C85781"/>
    <w:rsid w:val="00C868DB"/>
    <w:rsid w:val="00C87AF0"/>
    <w:rsid w:val="00C948E6"/>
    <w:rsid w:val="00CA41A5"/>
    <w:rsid w:val="00CA4F03"/>
    <w:rsid w:val="00CA51DC"/>
    <w:rsid w:val="00CA6172"/>
    <w:rsid w:val="00CA6649"/>
    <w:rsid w:val="00CA6A6B"/>
    <w:rsid w:val="00CA7D03"/>
    <w:rsid w:val="00CB21DD"/>
    <w:rsid w:val="00CB26C7"/>
    <w:rsid w:val="00CB2745"/>
    <w:rsid w:val="00CB2780"/>
    <w:rsid w:val="00CB4142"/>
    <w:rsid w:val="00CC2C65"/>
    <w:rsid w:val="00CC4EC2"/>
    <w:rsid w:val="00CC524D"/>
    <w:rsid w:val="00CC7013"/>
    <w:rsid w:val="00CD1CC3"/>
    <w:rsid w:val="00CD1FC3"/>
    <w:rsid w:val="00CD4DDD"/>
    <w:rsid w:val="00CD6215"/>
    <w:rsid w:val="00CD6503"/>
    <w:rsid w:val="00CD6E21"/>
    <w:rsid w:val="00CD7748"/>
    <w:rsid w:val="00CE4CDB"/>
    <w:rsid w:val="00CE4E65"/>
    <w:rsid w:val="00CE4F7E"/>
    <w:rsid w:val="00CE522C"/>
    <w:rsid w:val="00CE5AF0"/>
    <w:rsid w:val="00CF15D1"/>
    <w:rsid w:val="00CF444B"/>
    <w:rsid w:val="00D00244"/>
    <w:rsid w:val="00D0294E"/>
    <w:rsid w:val="00D05BF4"/>
    <w:rsid w:val="00D063EB"/>
    <w:rsid w:val="00D0676E"/>
    <w:rsid w:val="00D10D17"/>
    <w:rsid w:val="00D131DF"/>
    <w:rsid w:val="00D13247"/>
    <w:rsid w:val="00D13A9A"/>
    <w:rsid w:val="00D15DFA"/>
    <w:rsid w:val="00D15EA9"/>
    <w:rsid w:val="00D20C31"/>
    <w:rsid w:val="00D30850"/>
    <w:rsid w:val="00D3131A"/>
    <w:rsid w:val="00D333A8"/>
    <w:rsid w:val="00D338C4"/>
    <w:rsid w:val="00D357EB"/>
    <w:rsid w:val="00D37CB3"/>
    <w:rsid w:val="00D403AF"/>
    <w:rsid w:val="00D436CC"/>
    <w:rsid w:val="00D44164"/>
    <w:rsid w:val="00D443F3"/>
    <w:rsid w:val="00D4530F"/>
    <w:rsid w:val="00D4754F"/>
    <w:rsid w:val="00D5057A"/>
    <w:rsid w:val="00D53B79"/>
    <w:rsid w:val="00D60AFA"/>
    <w:rsid w:val="00D62B41"/>
    <w:rsid w:val="00D63E8D"/>
    <w:rsid w:val="00D672CC"/>
    <w:rsid w:val="00D6735C"/>
    <w:rsid w:val="00D70406"/>
    <w:rsid w:val="00D70588"/>
    <w:rsid w:val="00D71001"/>
    <w:rsid w:val="00D73FE8"/>
    <w:rsid w:val="00D74C88"/>
    <w:rsid w:val="00D76A14"/>
    <w:rsid w:val="00D77418"/>
    <w:rsid w:val="00D77DA2"/>
    <w:rsid w:val="00D81770"/>
    <w:rsid w:val="00D84310"/>
    <w:rsid w:val="00D85B0F"/>
    <w:rsid w:val="00D86055"/>
    <w:rsid w:val="00D862BB"/>
    <w:rsid w:val="00D902E6"/>
    <w:rsid w:val="00D90340"/>
    <w:rsid w:val="00D91129"/>
    <w:rsid w:val="00D9202F"/>
    <w:rsid w:val="00D92398"/>
    <w:rsid w:val="00D93081"/>
    <w:rsid w:val="00D95044"/>
    <w:rsid w:val="00D96519"/>
    <w:rsid w:val="00D97565"/>
    <w:rsid w:val="00D97B31"/>
    <w:rsid w:val="00DA0000"/>
    <w:rsid w:val="00DA01D1"/>
    <w:rsid w:val="00DA0465"/>
    <w:rsid w:val="00DA3527"/>
    <w:rsid w:val="00DA358F"/>
    <w:rsid w:val="00DA391C"/>
    <w:rsid w:val="00DB0CE0"/>
    <w:rsid w:val="00DB2EE8"/>
    <w:rsid w:val="00DB3625"/>
    <w:rsid w:val="00DB4059"/>
    <w:rsid w:val="00DB66F4"/>
    <w:rsid w:val="00DB755D"/>
    <w:rsid w:val="00DB7A25"/>
    <w:rsid w:val="00DB7CF4"/>
    <w:rsid w:val="00DC13B3"/>
    <w:rsid w:val="00DC2040"/>
    <w:rsid w:val="00DC2167"/>
    <w:rsid w:val="00DC38C1"/>
    <w:rsid w:val="00DC38EB"/>
    <w:rsid w:val="00DC3D03"/>
    <w:rsid w:val="00DC5832"/>
    <w:rsid w:val="00DC605C"/>
    <w:rsid w:val="00DC70B4"/>
    <w:rsid w:val="00DD19F1"/>
    <w:rsid w:val="00DD2425"/>
    <w:rsid w:val="00DD42BC"/>
    <w:rsid w:val="00DD45E3"/>
    <w:rsid w:val="00DD46B2"/>
    <w:rsid w:val="00DD497D"/>
    <w:rsid w:val="00DD4980"/>
    <w:rsid w:val="00DD778C"/>
    <w:rsid w:val="00DE110D"/>
    <w:rsid w:val="00DE25A9"/>
    <w:rsid w:val="00DE285F"/>
    <w:rsid w:val="00DE2B22"/>
    <w:rsid w:val="00DE3235"/>
    <w:rsid w:val="00DE607E"/>
    <w:rsid w:val="00DE7FD3"/>
    <w:rsid w:val="00DF14F3"/>
    <w:rsid w:val="00DF18D3"/>
    <w:rsid w:val="00DF1C13"/>
    <w:rsid w:val="00DF1EBB"/>
    <w:rsid w:val="00DF2217"/>
    <w:rsid w:val="00DF222A"/>
    <w:rsid w:val="00DF26D5"/>
    <w:rsid w:val="00DF29EB"/>
    <w:rsid w:val="00DF3558"/>
    <w:rsid w:val="00DF3EAC"/>
    <w:rsid w:val="00E0138E"/>
    <w:rsid w:val="00E02CFC"/>
    <w:rsid w:val="00E036F4"/>
    <w:rsid w:val="00E03D9A"/>
    <w:rsid w:val="00E05EDB"/>
    <w:rsid w:val="00E10DAF"/>
    <w:rsid w:val="00E148BE"/>
    <w:rsid w:val="00E14C15"/>
    <w:rsid w:val="00E1530F"/>
    <w:rsid w:val="00E15A51"/>
    <w:rsid w:val="00E162D7"/>
    <w:rsid w:val="00E228A9"/>
    <w:rsid w:val="00E23C9A"/>
    <w:rsid w:val="00E23E7D"/>
    <w:rsid w:val="00E2489F"/>
    <w:rsid w:val="00E260E4"/>
    <w:rsid w:val="00E273D4"/>
    <w:rsid w:val="00E278F4"/>
    <w:rsid w:val="00E308D8"/>
    <w:rsid w:val="00E311F9"/>
    <w:rsid w:val="00E313C2"/>
    <w:rsid w:val="00E34795"/>
    <w:rsid w:val="00E3753C"/>
    <w:rsid w:val="00E401A5"/>
    <w:rsid w:val="00E40B0C"/>
    <w:rsid w:val="00E415D8"/>
    <w:rsid w:val="00E4227D"/>
    <w:rsid w:val="00E42E18"/>
    <w:rsid w:val="00E45235"/>
    <w:rsid w:val="00E4591D"/>
    <w:rsid w:val="00E45D7E"/>
    <w:rsid w:val="00E47155"/>
    <w:rsid w:val="00E4741C"/>
    <w:rsid w:val="00E47763"/>
    <w:rsid w:val="00E52A90"/>
    <w:rsid w:val="00E53550"/>
    <w:rsid w:val="00E53CCB"/>
    <w:rsid w:val="00E6098D"/>
    <w:rsid w:val="00E60C53"/>
    <w:rsid w:val="00E623BF"/>
    <w:rsid w:val="00E63503"/>
    <w:rsid w:val="00E63970"/>
    <w:rsid w:val="00E6423D"/>
    <w:rsid w:val="00E67D9C"/>
    <w:rsid w:val="00E701C1"/>
    <w:rsid w:val="00E71732"/>
    <w:rsid w:val="00E720E2"/>
    <w:rsid w:val="00E7230E"/>
    <w:rsid w:val="00E726EC"/>
    <w:rsid w:val="00E72F70"/>
    <w:rsid w:val="00E7446A"/>
    <w:rsid w:val="00E7597B"/>
    <w:rsid w:val="00E77459"/>
    <w:rsid w:val="00E8012F"/>
    <w:rsid w:val="00E80242"/>
    <w:rsid w:val="00E83051"/>
    <w:rsid w:val="00E85045"/>
    <w:rsid w:val="00E86193"/>
    <w:rsid w:val="00E87709"/>
    <w:rsid w:val="00E9061D"/>
    <w:rsid w:val="00E92AC6"/>
    <w:rsid w:val="00E931C5"/>
    <w:rsid w:val="00E9392B"/>
    <w:rsid w:val="00E9434B"/>
    <w:rsid w:val="00E94546"/>
    <w:rsid w:val="00E962EF"/>
    <w:rsid w:val="00E965A3"/>
    <w:rsid w:val="00E96981"/>
    <w:rsid w:val="00E969CE"/>
    <w:rsid w:val="00E9795D"/>
    <w:rsid w:val="00EA0CF7"/>
    <w:rsid w:val="00EA10A5"/>
    <w:rsid w:val="00EA42C7"/>
    <w:rsid w:val="00EA42CA"/>
    <w:rsid w:val="00EA54C0"/>
    <w:rsid w:val="00EA588D"/>
    <w:rsid w:val="00EA6CB4"/>
    <w:rsid w:val="00EB18C6"/>
    <w:rsid w:val="00EB1CFF"/>
    <w:rsid w:val="00EB27ED"/>
    <w:rsid w:val="00EB6EBD"/>
    <w:rsid w:val="00EC15E3"/>
    <w:rsid w:val="00EC1C85"/>
    <w:rsid w:val="00EC306A"/>
    <w:rsid w:val="00EC6FBB"/>
    <w:rsid w:val="00EC7BAB"/>
    <w:rsid w:val="00ED0808"/>
    <w:rsid w:val="00ED285B"/>
    <w:rsid w:val="00ED330B"/>
    <w:rsid w:val="00ED35B1"/>
    <w:rsid w:val="00ED571C"/>
    <w:rsid w:val="00EE07F1"/>
    <w:rsid w:val="00EE36D2"/>
    <w:rsid w:val="00EE42EE"/>
    <w:rsid w:val="00EE4716"/>
    <w:rsid w:val="00EE4AB4"/>
    <w:rsid w:val="00EE7011"/>
    <w:rsid w:val="00EF2144"/>
    <w:rsid w:val="00EF28C2"/>
    <w:rsid w:val="00EF2B7B"/>
    <w:rsid w:val="00EF3B58"/>
    <w:rsid w:val="00EF48E8"/>
    <w:rsid w:val="00EF4EFB"/>
    <w:rsid w:val="00EF50E3"/>
    <w:rsid w:val="00EF7E46"/>
    <w:rsid w:val="00F0047E"/>
    <w:rsid w:val="00F02612"/>
    <w:rsid w:val="00F034FE"/>
    <w:rsid w:val="00F07C58"/>
    <w:rsid w:val="00F07CE8"/>
    <w:rsid w:val="00F10BB9"/>
    <w:rsid w:val="00F12DFF"/>
    <w:rsid w:val="00F14C78"/>
    <w:rsid w:val="00F14DC6"/>
    <w:rsid w:val="00F157F0"/>
    <w:rsid w:val="00F171A4"/>
    <w:rsid w:val="00F17FB4"/>
    <w:rsid w:val="00F21414"/>
    <w:rsid w:val="00F24BFF"/>
    <w:rsid w:val="00F27180"/>
    <w:rsid w:val="00F3248E"/>
    <w:rsid w:val="00F33BED"/>
    <w:rsid w:val="00F34035"/>
    <w:rsid w:val="00F35198"/>
    <w:rsid w:val="00F3710B"/>
    <w:rsid w:val="00F41A48"/>
    <w:rsid w:val="00F43BE1"/>
    <w:rsid w:val="00F45E0A"/>
    <w:rsid w:val="00F479E8"/>
    <w:rsid w:val="00F47EFA"/>
    <w:rsid w:val="00F50321"/>
    <w:rsid w:val="00F53F48"/>
    <w:rsid w:val="00F5582E"/>
    <w:rsid w:val="00F61BAB"/>
    <w:rsid w:val="00F6245A"/>
    <w:rsid w:val="00F63168"/>
    <w:rsid w:val="00F65E56"/>
    <w:rsid w:val="00F66E84"/>
    <w:rsid w:val="00F71B1A"/>
    <w:rsid w:val="00F75592"/>
    <w:rsid w:val="00F77228"/>
    <w:rsid w:val="00F774E0"/>
    <w:rsid w:val="00F80B2C"/>
    <w:rsid w:val="00F80C20"/>
    <w:rsid w:val="00F858A7"/>
    <w:rsid w:val="00F86463"/>
    <w:rsid w:val="00F8749D"/>
    <w:rsid w:val="00F9279C"/>
    <w:rsid w:val="00F9369E"/>
    <w:rsid w:val="00FA0318"/>
    <w:rsid w:val="00FA1026"/>
    <w:rsid w:val="00FA2548"/>
    <w:rsid w:val="00FA2C02"/>
    <w:rsid w:val="00FA2E1E"/>
    <w:rsid w:val="00FA5E06"/>
    <w:rsid w:val="00FA7D69"/>
    <w:rsid w:val="00FB0241"/>
    <w:rsid w:val="00FB20C6"/>
    <w:rsid w:val="00FB2815"/>
    <w:rsid w:val="00FB2983"/>
    <w:rsid w:val="00FB4AE2"/>
    <w:rsid w:val="00FB61C2"/>
    <w:rsid w:val="00FB6F77"/>
    <w:rsid w:val="00FB73D4"/>
    <w:rsid w:val="00FC0019"/>
    <w:rsid w:val="00FC15D3"/>
    <w:rsid w:val="00FC238E"/>
    <w:rsid w:val="00FC3FDF"/>
    <w:rsid w:val="00FC49F1"/>
    <w:rsid w:val="00FC4E30"/>
    <w:rsid w:val="00FC6195"/>
    <w:rsid w:val="00FD1DC6"/>
    <w:rsid w:val="00FD6D5B"/>
    <w:rsid w:val="00FD73BE"/>
    <w:rsid w:val="00FD7768"/>
    <w:rsid w:val="00FE0046"/>
    <w:rsid w:val="00FE0BAD"/>
    <w:rsid w:val="00FE23F1"/>
    <w:rsid w:val="00FF23EB"/>
    <w:rsid w:val="00FF3277"/>
    <w:rsid w:val="00FF3F09"/>
    <w:rsid w:val="00FF56E3"/>
    <w:rsid w:val="00FF63E7"/>
    <w:rsid w:val="00FF6897"/>
    <w:rsid w:val="00FF696C"/>
    <w:rsid w:val="019868DE"/>
    <w:rsid w:val="019C27EF"/>
    <w:rsid w:val="03DA4676"/>
    <w:rsid w:val="040E6340"/>
    <w:rsid w:val="04341680"/>
    <w:rsid w:val="05216FE8"/>
    <w:rsid w:val="05951A7C"/>
    <w:rsid w:val="06C16101"/>
    <w:rsid w:val="07053DD7"/>
    <w:rsid w:val="07CA390F"/>
    <w:rsid w:val="0812397A"/>
    <w:rsid w:val="08390163"/>
    <w:rsid w:val="0928653B"/>
    <w:rsid w:val="097F154E"/>
    <w:rsid w:val="09A24E2F"/>
    <w:rsid w:val="09A731C7"/>
    <w:rsid w:val="09A93951"/>
    <w:rsid w:val="0B917274"/>
    <w:rsid w:val="0C5F3162"/>
    <w:rsid w:val="0CE022F1"/>
    <w:rsid w:val="0D725DA2"/>
    <w:rsid w:val="0DC658FD"/>
    <w:rsid w:val="0DF25234"/>
    <w:rsid w:val="0E27569A"/>
    <w:rsid w:val="0F184E0C"/>
    <w:rsid w:val="0F296723"/>
    <w:rsid w:val="1014654D"/>
    <w:rsid w:val="131C51E0"/>
    <w:rsid w:val="13E33FC9"/>
    <w:rsid w:val="145853B5"/>
    <w:rsid w:val="150C25DD"/>
    <w:rsid w:val="154A58B2"/>
    <w:rsid w:val="1595502B"/>
    <w:rsid w:val="16A841C8"/>
    <w:rsid w:val="170F22CA"/>
    <w:rsid w:val="173D711F"/>
    <w:rsid w:val="182B4516"/>
    <w:rsid w:val="189D15E5"/>
    <w:rsid w:val="18B35B96"/>
    <w:rsid w:val="18EC0D72"/>
    <w:rsid w:val="19C776B1"/>
    <w:rsid w:val="1A1A5501"/>
    <w:rsid w:val="1A9256D2"/>
    <w:rsid w:val="1AD84D51"/>
    <w:rsid w:val="1B2852B4"/>
    <w:rsid w:val="1B513787"/>
    <w:rsid w:val="1B51593C"/>
    <w:rsid w:val="1BCC3F9D"/>
    <w:rsid w:val="1BD96081"/>
    <w:rsid w:val="1C223901"/>
    <w:rsid w:val="1C451A8F"/>
    <w:rsid w:val="1D7D4EB9"/>
    <w:rsid w:val="1F0C7787"/>
    <w:rsid w:val="1F2D41CC"/>
    <w:rsid w:val="1F5933F6"/>
    <w:rsid w:val="201564A6"/>
    <w:rsid w:val="20D1662C"/>
    <w:rsid w:val="210D77F3"/>
    <w:rsid w:val="214C3CEE"/>
    <w:rsid w:val="215F3C02"/>
    <w:rsid w:val="21E42F21"/>
    <w:rsid w:val="22E952C0"/>
    <w:rsid w:val="232052E1"/>
    <w:rsid w:val="244B7B5A"/>
    <w:rsid w:val="24CD66E9"/>
    <w:rsid w:val="253F0B6B"/>
    <w:rsid w:val="257A162F"/>
    <w:rsid w:val="258118F2"/>
    <w:rsid w:val="25AE12D9"/>
    <w:rsid w:val="26B42061"/>
    <w:rsid w:val="26BD6580"/>
    <w:rsid w:val="271245FB"/>
    <w:rsid w:val="277A3294"/>
    <w:rsid w:val="278854D0"/>
    <w:rsid w:val="27B10E99"/>
    <w:rsid w:val="280C7693"/>
    <w:rsid w:val="297543E1"/>
    <w:rsid w:val="29F16300"/>
    <w:rsid w:val="29F734E1"/>
    <w:rsid w:val="2A3F6C34"/>
    <w:rsid w:val="2B1D42F6"/>
    <w:rsid w:val="2B2F4C6A"/>
    <w:rsid w:val="2B81552F"/>
    <w:rsid w:val="2CA2759A"/>
    <w:rsid w:val="2CB60351"/>
    <w:rsid w:val="2CCD0813"/>
    <w:rsid w:val="2CFB688A"/>
    <w:rsid w:val="2D387133"/>
    <w:rsid w:val="2E7F284A"/>
    <w:rsid w:val="2F6C3F75"/>
    <w:rsid w:val="2F8F0CAC"/>
    <w:rsid w:val="2F960C77"/>
    <w:rsid w:val="2FD0659E"/>
    <w:rsid w:val="30092946"/>
    <w:rsid w:val="30C72FA3"/>
    <w:rsid w:val="31C957A4"/>
    <w:rsid w:val="32BB4EA6"/>
    <w:rsid w:val="32D54D69"/>
    <w:rsid w:val="33A4280C"/>
    <w:rsid w:val="33C12E3A"/>
    <w:rsid w:val="35A62E78"/>
    <w:rsid w:val="35AD7E15"/>
    <w:rsid w:val="364005B3"/>
    <w:rsid w:val="365B62D0"/>
    <w:rsid w:val="36C15F98"/>
    <w:rsid w:val="383211B6"/>
    <w:rsid w:val="391C18E5"/>
    <w:rsid w:val="39961DFE"/>
    <w:rsid w:val="39B82F0D"/>
    <w:rsid w:val="39BC6CAF"/>
    <w:rsid w:val="39D93470"/>
    <w:rsid w:val="3A38666F"/>
    <w:rsid w:val="3A3F35D1"/>
    <w:rsid w:val="3A8806DE"/>
    <w:rsid w:val="3A902221"/>
    <w:rsid w:val="3AD72AE0"/>
    <w:rsid w:val="3BCF1DF8"/>
    <w:rsid w:val="3D0D3098"/>
    <w:rsid w:val="3D1C6F11"/>
    <w:rsid w:val="3DEA7329"/>
    <w:rsid w:val="3E0F5372"/>
    <w:rsid w:val="3EEB14FA"/>
    <w:rsid w:val="3F810B27"/>
    <w:rsid w:val="3FF03519"/>
    <w:rsid w:val="406302EA"/>
    <w:rsid w:val="409F1CAB"/>
    <w:rsid w:val="414C2555"/>
    <w:rsid w:val="42411D38"/>
    <w:rsid w:val="439B4CAF"/>
    <w:rsid w:val="43AB6647"/>
    <w:rsid w:val="43CC3C23"/>
    <w:rsid w:val="444A0CF5"/>
    <w:rsid w:val="446511AC"/>
    <w:rsid w:val="44F07277"/>
    <w:rsid w:val="458319E2"/>
    <w:rsid w:val="45B5562C"/>
    <w:rsid w:val="460E4856"/>
    <w:rsid w:val="46223543"/>
    <w:rsid w:val="46385E7F"/>
    <w:rsid w:val="46CB020F"/>
    <w:rsid w:val="484074BA"/>
    <w:rsid w:val="486C36F3"/>
    <w:rsid w:val="48AE2C48"/>
    <w:rsid w:val="48DA20CF"/>
    <w:rsid w:val="48DE548C"/>
    <w:rsid w:val="491C2EB0"/>
    <w:rsid w:val="49643496"/>
    <w:rsid w:val="497C6ECF"/>
    <w:rsid w:val="4988371F"/>
    <w:rsid w:val="49D85013"/>
    <w:rsid w:val="4A051069"/>
    <w:rsid w:val="4AEB1AFD"/>
    <w:rsid w:val="4B0A6AFB"/>
    <w:rsid w:val="4B5F2061"/>
    <w:rsid w:val="4BF551E8"/>
    <w:rsid w:val="4CDD6D28"/>
    <w:rsid w:val="4D2A59A6"/>
    <w:rsid w:val="4D97186C"/>
    <w:rsid w:val="4E3806EB"/>
    <w:rsid w:val="4EA3568C"/>
    <w:rsid w:val="4ECE5D3A"/>
    <w:rsid w:val="4F2204BE"/>
    <w:rsid w:val="51842D6A"/>
    <w:rsid w:val="51C55005"/>
    <w:rsid w:val="51C97656"/>
    <w:rsid w:val="52765D99"/>
    <w:rsid w:val="52966FCA"/>
    <w:rsid w:val="52B329B6"/>
    <w:rsid w:val="53B951F9"/>
    <w:rsid w:val="53E048FB"/>
    <w:rsid w:val="54030BCC"/>
    <w:rsid w:val="540B528D"/>
    <w:rsid w:val="54402ECF"/>
    <w:rsid w:val="54A43C43"/>
    <w:rsid w:val="54AF45A2"/>
    <w:rsid w:val="54B73456"/>
    <w:rsid w:val="561D4929"/>
    <w:rsid w:val="56313DF0"/>
    <w:rsid w:val="57E941BE"/>
    <w:rsid w:val="58260059"/>
    <w:rsid w:val="58AC2B4B"/>
    <w:rsid w:val="59CD09EF"/>
    <w:rsid w:val="59FD556B"/>
    <w:rsid w:val="5B9E7E4F"/>
    <w:rsid w:val="5CA32727"/>
    <w:rsid w:val="5D9E7743"/>
    <w:rsid w:val="5DD76525"/>
    <w:rsid w:val="5E2872B3"/>
    <w:rsid w:val="5E5A578A"/>
    <w:rsid w:val="5EF90BAF"/>
    <w:rsid w:val="5EF94DB6"/>
    <w:rsid w:val="5F023E13"/>
    <w:rsid w:val="5F12033C"/>
    <w:rsid w:val="5F2C1DF3"/>
    <w:rsid w:val="5FF1422C"/>
    <w:rsid w:val="60530D3F"/>
    <w:rsid w:val="6083679A"/>
    <w:rsid w:val="61B824A9"/>
    <w:rsid w:val="62CF134B"/>
    <w:rsid w:val="637E3D04"/>
    <w:rsid w:val="639D012D"/>
    <w:rsid w:val="648C4C52"/>
    <w:rsid w:val="64FC36F4"/>
    <w:rsid w:val="6517678D"/>
    <w:rsid w:val="65236D7C"/>
    <w:rsid w:val="65283E87"/>
    <w:rsid w:val="6539067D"/>
    <w:rsid w:val="668A7C0D"/>
    <w:rsid w:val="66EF2B28"/>
    <w:rsid w:val="675D7E8D"/>
    <w:rsid w:val="679619A6"/>
    <w:rsid w:val="67AF495F"/>
    <w:rsid w:val="67B05B4E"/>
    <w:rsid w:val="67EF073F"/>
    <w:rsid w:val="67F40945"/>
    <w:rsid w:val="68955C10"/>
    <w:rsid w:val="68C83614"/>
    <w:rsid w:val="691A5738"/>
    <w:rsid w:val="69CF4224"/>
    <w:rsid w:val="6A0C792E"/>
    <w:rsid w:val="6A2851A9"/>
    <w:rsid w:val="6A61430B"/>
    <w:rsid w:val="6AE31995"/>
    <w:rsid w:val="6B4D43B1"/>
    <w:rsid w:val="6CED453D"/>
    <w:rsid w:val="6CF45E2A"/>
    <w:rsid w:val="6D521B17"/>
    <w:rsid w:val="6DCA5B51"/>
    <w:rsid w:val="6E7F4A3E"/>
    <w:rsid w:val="6F9F6A24"/>
    <w:rsid w:val="6FD712DC"/>
    <w:rsid w:val="70330D92"/>
    <w:rsid w:val="7040034C"/>
    <w:rsid w:val="70ED1BF5"/>
    <w:rsid w:val="712E4649"/>
    <w:rsid w:val="72AE297B"/>
    <w:rsid w:val="72C2329A"/>
    <w:rsid w:val="73254F0E"/>
    <w:rsid w:val="732E70C2"/>
    <w:rsid w:val="73820B6A"/>
    <w:rsid w:val="74100A99"/>
    <w:rsid w:val="74250F25"/>
    <w:rsid w:val="74386FAF"/>
    <w:rsid w:val="74BE46A2"/>
    <w:rsid w:val="74C022E1"/>
    <w:rsid w:val="7572645F"/>
    <w:rsid w:val="759B7E00"/>
    <w:rsid w:val="76BB3005"/>
    <w:rsid w:val="76DA4AA8"/>
    <w:rsid w:val="77F67816"/>
    <w:rsid w:val="78C7160B"/>
    <w:rsid w:val="78CC5E0F"/>
    <w:rsid w:val="791040DB"/>
    <w:rsid w:val="791F05A0"/>
    <w:rsid w:val="7921768C"/>
    <w:rsid w:val="7930397D"/>
    <w:rsid w:val="79A13192"/>
    <w:rsid w:val="7AE24F1F"/>
    <w:rsid w:val="7B546208"/>
    <w:rsid w:val="7B8200F4"/>
    <w:rsid w:val="7B954DE4"/>
    <w:rsid w:val="7C806985"/>
    <w:rsid w:val="7C92168B"/>
    <w:rsid w:val="7CA451C2"/>
    <w:rsid w:val="7CE42605"/>
    <w:rsid w:val="7DB05B7F"/>
    <w:rsid w:val="7E9731DA"/>
    <w:rsid w:val="7EC82997"/>
    <w:rsid w:val="7EEF3A4D"/>
    <w:rsid w:val="7F58120E"/>
    <w:rsid w:val="7F6E79FD"/>
    <w:rsid w:val="7F83653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heme="minorBidi"/>
      <w:kern w:val="2"/>
      <w:sz w:val="24"/>
      <w:szCs w:val="22"/>
      <w:lang w:val="en-US" w:eastAsia="zh-CN" w:bidi="ar-SA"/>
    </w:rPr>
  </w:style>
  <w:style w:type="paragraph" w:styleId="2">
    <w:name w:val="heading 1"/>
    <w:basedOn w:val="1"/>
    <w:next w:val="1"/>
    <w:link w:val="31"/>
    <w:autoRedefine/>
    <w:qFormat/>
    <w:uiPriority w:val="9"/>
    <w:pPr>
      <w:keepNext/>
      <w:keepLines/>
      <w:numPr>
        <w:ilvl w:val="0"/>
        <w:numId w:val="1"/>
      </w:numPr>
      <w:spacing w:line="360" w:lineRule="auto"/>
      <w:outlineLvl w:val="0"/>
    </w:pPr>
    <w:rPr>
      <w:b/>
      <w:bCs/>
      <w:kern w:val="44"/>
      <w:sz w:val="28"/>
      <w:szCs w:val="44"/>
    </w:rPr>
  </w:style>
  <w:style w:type="paragraph" w:styleId="3">
    <w:name w:val="heading 2"/>
    <w:basedOn w:val="1"/>
    <w:next w:val="1"/>
    <w:link w:val="32"/>
    <w:autoRedefine/>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autoRedefine/>
    <w:semiHidden/>
    <w:unhideWhenUsed/>
    <w:qFormat/>
    <w:uiPriority w:val="9"/>
    <w:pPr>
      <w:spacing w:beforeAutospacing="1" w:afterAutospacing="1"/>
      <w:jc w:val="left"/>
      <w:outlineLvl w:val="2"/>
    </w:pPr>
    <w:rPr>
      <w:rFonts w:hint="eastAsia" w:ascii="宋体" w:hAnsi="宋体" w:eastAsia="宋体" w:cs="Times New Roman"/>
      <w:b/>
      <w:bCs/>
      <w:kern w:val="0"/>
      <w:sz w:val="27"/>
      <w:szCs w:val="27"/>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19"/>
    <w:autoRedefine/>
    <w:unhideWhenUsed/>
    <w:qFormat/>
    <w:uiPriority w:val="99"/>
    <w:pPr>
      <w:jc w:val="left"/>
    </w:pPr>
  </w:style>
  <w:style w:type="paragraph" w:styleId="6">
    <w:name w:val="Body Text Indent"/>
    <w:basedOn w:val="1"/>
    <w:link w:val="22"/>
    <w:autoRedefine/>
    <w:semiHidden/>
    <w:unhideWhenUsed/>
    <w:qFormat/>
    <w:uiPriority w:val="99"/>
    <w:pPr>
      <w:spacing w:after="120"/>
      <w:ind w:left="420" w:leftChars="200"/>
    </w:pPr>
  </w:style>
  <w:style w:type="paragraph" w:styleId="7">
    <w:name w:val="Balloon Text"/>
    <w:basedOn w:val="1"/>
    <w:link w:val="21"/>
    <w:autoRedefine/>
    <w:semiHidden/>
    <w:unhideWhenUsed/>
    <w:qFormat/>
    <w:uiPriority w:val="99"/>
    <w:rPr>
      <w:sz w:val="18"/>
      <w:szCs w:val="18"/>
    </w:rPr>
  </w:style>
  <w:style w:type="paragraph" w:styleId="8">
    <w:name w:val="footer"/>
    <w:basedOn w:val="1"/>
    <w:link w:val="17"/>
    <w:autoRedefine/>
    <w:unhideWhenUsed/>
    <w:qFormat/>
    <w:uiPriority w:val="99"/>
    <w:pPr>
      <w:tabs>
        <w:tab w:val="center" w:pos="4153"/>
        <w:tab w:val="right" w:pos="8306"/>
      </w:tabs>
      <w:snapToGrid w:val="0"/>
      <w:jc w:val="left"/>
    </w:pPr>
    <w:rPr>
      <w:sz w:val="18"/>
      <w:szCs w:val="18"/>
    </w:rPr>
  </w:style>
  <w:style w:type="paragraph" w:styleId="9">
    <w:name w:val="header"/>
    <w:basedOn w:val="1"/>
    <w:link w:val="16"/>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qFormat/>
    <w:uiPriority w:val="99"/>
    <w:pPr>
      <w:widowControl/>
      <w:spacing w:before="100" w:beforeAutospacing="1" w:after="100" w:afterAutospacing="1"/>
      <w:jc w:val="left"/>
    </w:pPr>
    <w:rPr>
      <w:rFonts w:cs="Times New Roman" w:eastAsiaTheme="minorEastAsia"/>
      <w:kern w:val="0"/>
      <w:szCs w:val="20"/>
    </w:rPr>
  </w:style>
  <w:style w:type="paragraph" w:styleId="11">
    <w:name w:val="annotation subject"/>
    <w:basedOn w:val="5"/>
    <w:next w:val="5"/>
    <w:link w:val="20"/>
    <w:autoRedefine/>
    <w:unhideWhenUsed/>
    <w:qFormat/>
    <w:uiPriority w:val="0"/>
    <w:rPr>
      <w:b/>
      <w:bCs/>
    </w:rPr>
  </w:style>
  <w:style w:type="table" w:styleId="13">
    <w:name w:val="Table Grid"/>
    <w:basedOn w:val="1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autoRedefine/>
    <w:unhideWhenUsed/>
    <w:qFormat/>
    <w:uiPriority w:val="0"/>
    <w:rPr>
      <w:sz w:val="21"/>
      <w:szCs w:val="21"/>
    </w:rPr>
  </w:style>
  <w:style w:type="character" w:customStyle="1" w:styleId="16">
    <w:name w:val="页眉 字符"/>
    <w:basedOn w:val="14"/>
    <w:link w:val="9"/>
    <w:autoRedefine/>
    <w:qFormat/>
    <w:uiPriority w:val="99"/>
    <w:rPr>
      <w:sz w:val="18"/>
      <w:szCs w:val="18"/>
    </w:rPr>
  </w:style>
  <w:style w:type="character" w:customStyle="1" w:styleId="17">
    <w:name w:val="页脚 字符"/>
    <w:basedOn w:val="14"/>
    <w:link w:val="8"/>
    <w:autoRedefine/>
    <w:qFormat/>
    <w:uiPriority w:val="99"/>
    <w:rPr>
      <w:sz w:val="18"/>
      <w:szCs w:val="18"/>
    </w:rPr>
  </w:style>
  <w:style w:type="paragraph" w:styleId="18">
    <w:name w:val="List Paragraph"/>
    <w:basedOn w:val="1"/>
    <w:autoRedefine/>
    <w:qFormat/>
    <w:uiPriority w:val="99"/>
    <w:pPr>
      <w:ind w:firstLine="420" w:firstLineChars="200"/>
    </w:pPr>
  </w:style>
  <w:style w:type="character" w:customStyle="1" w:styleId="19">
    <w:name w:val="批注文字 字符"/>
    <w:basedOn w:val="14"/>
    <w:link w:val="5"/>
    <w:autoRedefine/>
    <w:qFormat/>
    <w:uiPriority w:val="99"/>
    <w:rPr>
      <w:kern w:val="2"/>
      <w:sz w:val="21"/>
      <w:szCs w:val="22"/>
    </w:rPr>
  </w:style>
  <w:style w:type="character" w:customStyle="1" w:styleId="20">
    <w:name w:val="批注主题 字符"/>
    <w:basedOn w:val="19"/>
    <w:link w:val="11"/>
    <w:autoRedefine/>
    <w:qFormat/>
    <w:uiPriority w:val="0"/>
    <w:rPr>
      <w:b/>
      <w:bCs/>
      <w:kern w:val="2"/>
      <w:sz w:val="21"/>
      <w:szCs w:val="22"/>
    </w:rPr>
  </w:style>
  <w:style w:type="character" w:customStyle="1" w:styleId="21">
    <w:name w:val="批注框文本 字符"/>
    <w:basedOn w:val="14"/>
    <w:link w:val="7"/>
    <w:autoRedefine/>
    <w:semiHidden/>
    <w:qFormat/>
    <w:uiPriority w:val="99"/>
    <w:rPr>
      <w:kern w:val="2"/>
      <w:sz w:val="18"/>
      <w:szCs w:val="18"/>
    </w:rPr>
  </w:style>
  <w:style w:type="character" w:customStyle="1" w:styleId="22">
    <w:name w:val="正文文本缩进 字符"/>
    <w:basedOn w:val="14"/>
    <w:link w:val="6"/>
    <w:autoRedefine/>
    <w:semiHidden/>
    <w:qFormat/>
    <w:uiPriority w:val="99"/>
    <w:rPr>
      <w:kern w:val="2"/>
      <w:sz w:val="21"/>
      <w:szCs w:val="22"/>
    </w:rPr>
  </w:style>
  <w:style w:type="paragraph" w:customStyle="1" w:styleId="23">
    <w:name w:val="360正文二级编号"/>
    <w:basedOn w:val="1"/>
    <w:autoRedefine/>
    <w:qFormat/>
    <w:uiPriority w:val="0"/>
    <w:pPr>
      <w:spacing w:beforeLines="50" w:afterLines="50" w:line="400" w:lineRule="exact"/>
      <w:jc w:val="left"/>
    </w:pPr>
    <w:rPr>
      <w:rFonts w:ascii="Arial Unicode MS" w:hAnsi="Arial Unicode MS" w:eastAsia="华文细黑" w:cs="宋体"/>
      <w:bCs/>
      <w:kern w:val="0"/>
      <w:sz w:val="22"/>
      <w:szCs w:val="20"/>
    </w:rPr>
  </w:style>
  <w:style w:type="paragraph" w:customStyle="1" w:styleId="24">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5">
    <w:name w:val="列出段落1"/>
    <w:basedOn w:val="1"/>
    <w:autoRedefine/>
    <w:qFormat/>
    <w:uiPriority w:val="34"/>
    <w:pPr>
      <w:ind w:firstLine="420" w:firstLineChars="200"/>
    </w:pPr>
    <w:rPr>
      <w:rFonts w:eastAsia="宋体" w:cs="Times New Roman"/>
      <w:szCs w:val="21"/>
    </w:rPr>
  </w:style>
  <w:style w:type="paragraph" w:customStyle="1" w:styleId="26">
    <w:name w:val="缺省文本"/>
    <w:basedOn w:val="1"/>
    <w:autoRedefine/>
    <w:qFormat/>
    <w:uiPriority w:val="0"/>
    <w:pPr>
      <w:autoSpaceDE w:val="0"/>
      <w:autoSpaceDN w:val="0"/>
      <w:adjustRightInd w:val="0"/>
      <w:jc w:val="left"/>
    </w:pPr>
    <w:rPr>
      <w:rFonts w:eastAsia="宋体" w:cs="Times New Roman"/>
      <w:color w:val="000000"/>
      <w:kern w:val="0"/>
      <w:szCs w:val="24"/>
      <w:lang w:eastAsia="en-US" w:bidi="en-US"/>
    </w:rPr>
  </w:style>
  <w:style w:type="paragraph" w:customStyle="1" w:styleId="27">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8">
    <w:name w:val="修订3"/>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9">
    <w:name w:val="修订4"/>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0">
    <w:name w:val="修订5"/>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1">
    <w:name w:val="标题 1 字符"/>
    <w:basedOn w:val="14"/>
    <w:link w:val="2"/>
    <w:autoRedefine/>
    <w:qFormat/>
    <w:uiPriority w:val="9"/>
    <w:rPr>
      <w:rFonts w:ascii="Times New Roman" w:hAnsi="Times New Roman" w:eastAsia="仿宋"/>
      <w:b/>
      <w:bCs/>
      <w:kern w:val="44"/>
      <w:sz w:val="28"/>
      <w:szCs w:val="44"/>
    </w:rPr>
  </w:style>
  <w:style w:type="character" w:customStyle="1" w:styleId="32">
    <w:name w:val="标题 2 字符"/>
    <w:basedOn w:val="14"/>
    <w:link w:val="3"/>
    <w:autoRedefine/>
    <w:semiHidden/>
    <w:qFormat/>
    <w:uiPriority w:val="9"/>
    <w:rPr>
      <w:rFonts w:asciiTheme="majorHAnsi" w:hAnsiTheme="majorHAnsi" w:eastAsiaTheme="majorEastAsia" w:cstheme="majorBidi"/>
      <w:b/>
      <w:bCs/>
      <w:kern w:val="2"/>
      <w:sz w:val="32"/>
      <w:szCs w:val="32"/>
    </w:rPr>
  </w:style>
  <w:style w:type="table" w:customStyle="1" w:styleId="33">
    <w:name w:val="网格表 1 浅色1"/>
    <w:basedOn w:val="12"/>
    <w:autoRedefine/>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paragraph" w:customStyle="1" w:styleId="34">
    <w:name w:val="修订6"/>
    <w:autoRedefine/>
    <w:hidden/>
    <w:semiHidden/>
    <w:qFormat/>
    <w:uiPriority w:val="99"/>
    <w:rPr>
      <w:rFonts w:ascii="Times New Roman" w:hAnsi="Times New Roman" w:eastAsia="仿宋" w:cstheme="minorBidi"/>
      <w:kern w:val="2"/>
      <w:sz w:val="24"/>
      <w:szCs w:val="22"/>
      <w:lang w:val="en-US" w:eastAsia="zh-CN" w:bidi="ar-SA"/>
    </w:rPr>
  </w:style>
  <w:style w:type="paragraph" w:customStyle="1" w:styleId="35">
    <w:name w:val="修订7"/>
    <w:autoRedefine/>
    <w:hidden/>
    <w:semiHidden/>
    <w:qFormat/>
    <w:uiPriority w:val="99"/>
    <w:rPr>
      <w:rFonts w:ascii="Times New Roman" w:hAnsi="Times New Roman" w:eastAsia="仿宋" w:cstheme="minorBidi"/>
      <w:kern w:val="2"/>
      <w:sz w:val="24"/>
      <w:szCs w:val="22"/>
      <w:lang w:val="en-US" w:eastAsia="zh-CN" w:bidi="ar-SA"/>
    </w:rPr>
  </w:style>
  <w:style w:type="paragraph" w:customStyle="1" w:styleId="36">
    <w:name w:val="修订8"/>
    <w:autoRedefine/>
    <w:hidden/>
    <w:semiHidden/>
    <w:qFormat/>
    <w:uiPriority w:val="99"/>
    <w:rPr>
      <w:rFonts w:ascii="Times New Roman" w:hAnsi="Times New Roman" w:eastAsia="仿宋" w:cstheme="minorBidi"/>
      <w:kern w:val="2"/>
      <w:sz w:val="24"/>
      <w:szCs w:val="22"/>
      <w:lang w:val="en-US" w:eastAsia="zh-CN" w:bidi="ar-SA"/>
    </w:rPr>
  </w:style>
  <w:style w:type="paragraph" w:customStyle="1" w:styleId="37">
    <w:name w:val="Revision"/>
    <w:hidden/>
    <w:unhideWhenUsed/>
    <w:qFormat/>
    <w:uiPriority w:val="99"/>
    <w:rPr>
      <w:rFonts w:ascii="Times New Roman" w:hAnsi="Times New Roman" w:eastAsia="仿宋"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ZL\AppData\Roaming\kingsoft\office6\templates\download\72e9f222-f3d4-4f09-b46a-00457e2cd2af\&#21830;&#21153;&#21512;&#20316;&#21327;&#35758;&#2007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3CB2A-B195-456B-BB52-E16DA08918A6}">
  <ds:schemaRefs/>
</ds:datastoreItem>
</file>

<file path=docProps/app.xml><?xml version="1.0" encoding="utf-8"?>
<Properties xmlns="http://schemas.openxmlformats.org/officeDocument/2006/extended-properties" xmlns:vt="http://schemas.openxmlformats.org/officeDocument/2006/docPropsVTypes">
  <Template>商务合作协议书.docx</Template>
  <Company>Microsoft</Company>
  <Pages>9</Pages>
  <Words>4921</Words>
  <Characters>5650</Characters>
  <Lines>41</Lines>
  <Paragraphs>11</Paragraphs>
  <TotalTime>5</TotalTime>
  <ScaleCrop>false</ScaleCrop>
  <LinksUpToDate>false</LinksUpToDate>
  <CharactersWithSpaces>5737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2024-07-19T03:12:00Z</dcterms:created>
  <dc:creator>saint</dc:creator>
  <cp:lastModifiedBy>Tiger</cp:lastModifiedBy>
  <cp:lastPrinted>2022-06-02T08:38:00Z</cp:lastPrinted>
  <dcterms:modified xsi:type="dcterms:W3CDTF">2024-07-19T08:39:38Z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KSOTemplateUUID">
    <vt:lpwstr>v1.0_mb_Ucm5XRz4sWYOwWDdI+ExqA==</vt:lpwstr>
  </property>
  <property fmtid="{D5CDD505-2E9C-101B-9397-08002B2CF9AE}" pid="4" name="ICV">
    <vt:lpwstr>8295C59453BA4D88A1DBF7FADAEF3369_13</vt:lpwstr>
  </property>
  <property fmtid="{D5CDD505-2E9C-101B-9397-08002B2CF9AE}" pid="5" name="commondata">
    <vt:lpwstr>eyJjb3VudCI6MiwiaGRpZCI6IjU4NjA2NWJkMjllYTJkYWNkMmI0MjEzZTE2MWRiNWQ4IiwidXNlckNvdW50IjoyfQ==</vt:lpwstr>
  </property>
</Properties>
</file>