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3</w:t>
      </w:r>
      <w:r>
        <w:rPr>
          <w:rFonts w:hint="eastAsia" w:ascii="微软雅黑" w:hAnsi="微软雅黑" w:cs="微软雅黑"/>
        </w:rPr>
        <w:t>天【Spring整合myBatis】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</w:pPr>
      <w:r>
        <w:rPr>
          <w:rFonts w:hint="eastAsia"/>
          <w:lang w:val="en-US" w:eastAsia="zh-CN"/>
        </w:rPr>
        <w:t>整合资源下载</w:t>
      </w:r>
    </w:p>
    <w:p>
      <w:pPr>
        <w:pStyle w:val="35"/>
        <w:numPr>
          <w:ilvl w:val="0"/>
          <w:numId w:val="1"/>
        </w:numPr>
        <w:ind w:firstLineChars="0"/>
      </w:pPr>
      <w:r>
        <w:rPr>
          <w:rFonts w:hint="eastAsia"/>
          <w:lang w:val="en-US" w:eastAsia="zh-CN"/>
        </w:rPr>
        <w:t>整合配置与案例演示</w:t>
      </w:r>
    </w:p>
    <w:p>
      <w:pPr>
        <w:adjustRightInd w:val="0"/>
        <w:snapToGrid w:val="0"/>
        <w:ind w:left="42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整合资源下载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下载spring与mybatis整合包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整合配置与案例演示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使用案例演示整合相关配置并完成CRUD操作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21834"/>
      <w:bookmarkStart w:id="1" w:name="_Toc25486"/>
      <w:bookmarkStart w:id="2" w:name="_Toc16557"/>
      <w:bookmarkStart w:id="3" w:name="_Toc529874617"/>
      <w:bookmarkStart w:id="4" w:name="_Toc17281"/>
      <w:bookmarkStart w:id="5" w:name="_Toc7785"/>
      <w:bookmarkStart w:id="6" w:name="_Toc481994851"/>
      <w:bookmarkStart w:id="7" w:name="_Toc3403"/>
      <w:bookmarkStart w:id="8" w:name="_Toc18681"/>
      <w:bookmarkStart w:id="9" w:name="_Toc19486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整合资源下载</w:t>
      </w: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进入github ，搜索mybatis</w:t>
      </w:r>
    </w:p>
    <w:p>
      <w:pPr>
        <w:widowControl/>
        <w:jc w:val="left"/>
      </w:pPr>
    </w:p>
    <w:p>
      <w:pPr>
        <w:widowControl/>
        <w:jc w:val="left"/>
      </w:pPr>
      <w:r>
        <w:drawing>
          <wp:inline distT="0" distB="0" distL="114300" distR="114300">
            <wp:extent cx="6191885" cy="1245870"/>
            <wp:effectExtent l="0" t="0" r="18415" b="11430"/>
            <wp:docPr id="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</w:rPr>
      </w:pPr>
      <w:r>
        <w:rPr>
          <w:rFonts w:hint="eastAsia" w:ascii="微软雅黑" w:hAnsi="微软雅黑" w:cs="宋体"/>
          <w:kern w:val="0"/>
          <w:sz w:val="36"/>
          <w:szCs w:val="36"/>
        </w:rPr>
        <w:t>查看https://github.com/mybatis/spring/releases</w:t>
      </w:r>
    </w:p>
    <w:p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 xml:space="preserve"> </w:t>
      </w:r>
    </w:p>
    <w:p>
      <w:pPr>
        <w:widowControl/>
        <w:jc w:val="left"/>
        <w:rPr>
          <w:rFonts w:ascii="宋体" w:hAnsi="宋体" w:eastAsia="宋体" w:cs="宋体"/>
          <w:kern w:val="0"/>
        </w:rPr>
      </w:pPr>
    </w:p>
    <w:p>
      <w:pPr>
        <w:widowControl/>
        <w:jc w:val="left"/>
      </w:pPr>
      <w:r>
        <w:drawing>
          <wp:inline distT="0" distB="0" distL="114300" distR="114300">
            <wp:extent cx="5815330" cy="2507615"/>
            <wp:effectExtent l="0" t="0" r="13970" b="6985"/>
            <wp:docPr id="6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784" cy="2507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widowControl/>
        <w:jc w:val="left"/>
        <w:rPr>
          <w:rFonts w:hint="eastAsia" w:ascii="微软雅黑" w:hAnsi="微软雅黑" w:cs="宋体"/>
          <w:kern w:val="0"/>
          <w:sz w:val="36"/>
          <w:szCs w:val="36"/>
          <w:lang w:eastAsia="zh-CN"/>
        </w:rPr>
      </w:pPr>
      <w:r>
        <w:rPr>
          <w:rFonts w:hint="eastAsia" w:ascii="微软雅黑" w:hAnsi="微软雅黑" w:cs="宋体"/>
          <w:kern w:val="0"/>
          <w:sz w:val="36"/>
          <w:szCs w:val="36"/>
          <w:lang w:eastAsia="zh-CN"/>
        </w:rPr>
        <w:t>下载资源</w:t>
      </w:r>
    </w:p>
    <w:p>
      <w:pPr>
        <w:widowControl/>
        <w:jc w:val="left"/>
      </w:pPr>
      <w:r>
        <w:drawing>
          <wp:inline distT="0" distB="0" distL="114300" distR="114300">
            <wp:extent cx="6684645" cy="1804035"/>
            <wp:effectExtent l="0" t="0" r="1905" b="5715"/>
            <wp:docPr id="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4645" cy="180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eastAsia" w:ascii="宋体" w:hAnsi="宋体" w:cs="宋体"/>
          <w:kern w:val="0"/>
        </w:rPr>
      </w:pPr>
    </w:p>
    <w:p>
      <w:pPr>
        <w:pStyle w:val="3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整合配置与案例演示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2.1</w:t>
      </w:r>
      <w:r>
        <w:rPr>
          <w:rFonts w:hint="eastAsia"/>
          <w:lang w:val="en-US" w:eastAsia="zh-CN"/>
        </w:rPr>
        <w:t xml:space="preserve">  导包</w:t>
      </w:r>
    </w:p>
    <w:p>
      <w:pPr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需要导入的整合包包括了：Spring相关Jar包；Mybatis相关Jar包；以及Spring与Mybatis整合专用Jar包：mybatis-spring-1.3.2.jar。</w:t>
      </w:r>
    </w:p>
    <w:p>
      <w:pPr>
        <w:pStyle w:val="4"/>
      </w:pPr>
      <w:r>
        <w:drawing>
          <wp:inline distT="0" distB="0" distL="114300" distR="114300">
            <wp:extent cx="3324860" cy="4237355"/>
            <wp:effectExtent l="0" t="0" r="8890" b="1079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60" cy="423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pStyle w:val="4"/>
      </w:pPr>
      <w:r>
        <w:rPr>
          <w:rFonts w:hint="eastAsia"/>
        </w:rPr>
        <w:t>2.2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Spring配置文件</w:t>
      </w:r>
      <w:r>
        <w:rPr>
          <w:rFonts w:hint="eastAsia"/>
          <w:lang w:val="en-US" w:eastAsia="zh-CN"/>
        </w:rPr>
        <w:t>修改</w:t>
      </w:r>
      <w:r>
        <w:rPr>
          <w:rFonts w:hint="eastAsia"/>
        </w:rPr>
        <w:t>（在classpath下新建beans.xml）</w:t>
      </w:r>
    </w:p>
    <w:p>
      <w:pPr>
        <w:pStyle w:val="5"/>
        <w:ind w:leftChars="100"/>
        <w:rPr>
          <w:rFonts w:hint="eastAsia" w:eastAsia="微软雅黑"/>
          <w:lang w:val="en-US" w:eastAsia="zh-CN"/>
        </w:rPr>
      </w:pPr>
      <w:r>
        <w:rPr>
          <w:rFonts w:hint="eastAsia"/>
        </w:rPr>
        <w:t>2.2.1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schema</w:t>
      </w:r>
      <w:r>
        <w:rPr>
          <w:rFonts w:hint="eastAsia"/>
          <w:lang w:val="en-US" w:eastAsia="zh-CN"/>
        </w:rPr>
        <w:t>修改</w:t>
      </w:r>
    </w:p>
    <w:p>
      <w:pPr>
        <w:widowControl/>
        <w:jc w:val="left"/>
      </w:pPr>
      <w:r>
        <w:drawing>
          <wp:inline distT="0" distB="0" distL="114300" distR="114300">
            <wp:extent cx="7489825" cy="2362200"/>
            <wp:effectExtent l="0" t="0" r="15875" b="0"/>
            <wp:docPr id="2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98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Chars="100"/>
        <w:rPr>
          <w:rFonts w:hint="eastAsia"/>
        </w:rPr>
      </w:pPr>
    </w:p>
    <w:p>
      <w:pPr>
        <w:pStyle w:val="5"/>
        <w:ind w:leftChars="100"/>
        <w:rPr>
          <w:rFonts w:hint="eastAsia" w:eastAsia="微软雅黑"/>
          <w:lang w:val="en-US" w:eastAsia="zh-CN"/>
        </w:rPr>
      </w:pPr>
      <w:r>
        <w:rPr>
          <w:rFonts w:hint="eastAsia"/>
        </w:rPr>
        <w:t>2.2.2</w:t>
      </w:r>
      <w:r>
        <w:rPr>
          <w:rFonts w:hint="eastAsia"/>
          <w:lang w:val="en-US" w:eastAsia="zh-CN"/>
        </w:rPr>
        <w:t xml:space="preserve">  DataSource</w:t>
      </w:r>
      <w:r>
        <w:rPr>
          <w:rFonts w:hint="eastAsia"/>
        </w:rPr>
        <w:t>数据源管理</w:t>
      </w:r>
      <w:r>
        <w:rPr>
          <w:rFonts w:hint="eastAsia"/>
          <w:lang w:val="en-US" w:eastAsia="zh-CN"/>
        </w:rPr>
        <w:t>配置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Spring整合mybatis，首先要接管mybatis的数据源</w:t>
      </w:r>
    </w:p>
    <w:p>
      <w:pPr>
        <w:rPr>
          <w:rFonts w:hint="eastAsia"/>
        </w:rPr>
      </w:pPr>
      <w:r>
        <w:drawing>
          <wp:inline distT="0" distB="0" distL="114300" distR="114300">
            <wp:extent cx="5946775" cy="1603375"/>
            <wp:effectExtent l="0" t="0" r="15875" b="15875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6775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删除原来在mybatis.xml中的环境配置</w:t>
      </w:r>
    </w:p>
    <w:p>
      <w:pPr>
        <w:pStyle w:val="5"/>
      </w:pPr>
      <w:r>
        <w:drawing>
          <wp:inline distT="0" distB="0" distL="114300" distR="114300">
            <wp:extent cx="6074410" cy="1583055"/>
            <wp:effectExtent l="0" t="0" r="2540" b="17145"/>
            <wp:docPr id="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410" cy="158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Chars="100"/>
        <w:rPr>
          <w:rFonts w:hint="eastAsia"/>
        </w:rPr>
      </w:pPr>
    </w:p>
    <w:p>
      <w:pPr>
        <w:pStyle w:val="5"/>
        <w:ind w:leftChars="100"/>
        <w:rPr>
          <w:rFonts w:hint="default" w:eastAsia="微软雅黑"/>
          <w:lang w:val="en-US" w:eastAsia="zh-CN"/>
        </w:rPr>
      </w:pPr>
      <w:r>
        <w:rPr>
          <w:rFonts w:hint="eastAsia"/>
        </w:rPr>
        <w:t>2.2.3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SqlSessionFactoryBean</w:t>
      </w:r>
      <w:r>
        <w:rPr>
          <w:rFonts w:hint="eastAsia"/>
          <w:lang w:val="en-US" w:eastAsia="zh-CN"/>
        </w:rPr>
        <w:t>连接工厂配置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Spring接管mybatis的SqlSessionFactory创建</w:t>
      </w:r>
    </w:p>
    <w:p>
      <w:pPr>
        <w:pStyle w:val="5"/>
        <w:ind w:firstLine="420" w:firstLineChars="0"/>
      </w:pPr>
      <w:r>
        <w:drawing>
          <wp:inline distT="0" distB="0" distL="114300" distR="114300">
            <wp:extent cx="6493510" cy="1167765"/>
            <wp:effectExtent l="0" t="0" r="2540" b="13335"/>
            <wp:docPr id="8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93510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</w:rPr>
      </w:pPr>
    </w:p>
    <w:p>
      <w:pPr>
        <w:rPr>
          <w:rFonts w:hint="eastAsia"/>
        </w:rPr>
      </w:pPr>
    </w:p>
    <w:p>
      <w:pPr>
        <w:pStyle w:val="5"/>
        <w:ind w:leftChars="100"/>
        <w:rPr>
          <w:rFonts w:hint="eastAsia"/>
        </w:rPr>
      </w:pPr>
      <w:r>
        <w:rPr>
          <w:rFonts w:hint="eastAsia"/>
        </w:rPr>
        <w:t>2.2.4</w:t>
      </w:r>
      <w:r>
        <w:rPr>
          <w:rFonts w:hint="eastAsia"/>
          <w:lang w:val="en-US" w:eastAsia="zh-CN"/>
        </w:rPr>
        <w:t xml:space="preserve">  context</w:t>
      </w:r>
      <w:r>
        <w:rPr>
          <w:rFonts w:hint="eastAsia"/>
        </w:rPr>
        <w:t>配置组件扫描</w:t>
      </w:r>
    </w:p>
    <w:p>
      <w:pPr>
        <w:rPr>
          <w:rFonts w:hint="eastAsia"/>
        </w:rPr>
      </w:pPr>
      <w:r>
        <w:drawing>
          <wp:inline distT="0" distB="0" distL="114300" distR="114300">
            <wp:extent cx="7078345" cy="1251585"/>
            <wp:effectExtent l="0" t="0" r="8255" b="5715"/>
            <wp:docPr id="9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78526" cy="1252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Chars="100"/>
      </w:pPr>
    </w:p>
    <w:p>
      <w:pPr>
        <w:pStyle w:val="5"/>
        <w:ind w:leftChars="100"/>
        <w:rPr>
          <w:rFonts w:hint="eastAsia"/>
        </w:rPr>
      </w:pPr>
      <w:r>
        <w:rPr>
          <w:rFonts w:hint="eastAsia"/>
        </w:rPr>
        <w:t>2.2.5</w:t>
      </w:r>
      <w:r>
        <w:rPr>
          <w:rFonts w:hint="eastAsia"/>
          <w:lang w:val="en-US" w:eastAsia="zh-CN"/>
        </w:rPr>
        <w:t xml:space="preserve">  transactionManager</w:t>
      </w:r>
      <w:r>
        <w:rPr>
          <w:rFonts w:hint="eastAsia"/>
        </w:rPr>
        <w:t>配置事务管理器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Spring整合mybatis与Spring整合JDBC，使用相同的事务管理器：</w:t>
      </w:r>
    </w:p>
    <w:p>
      <w:pPr>
        <w:pStyle w:val="5"/>
      </w:pPr>
      <w:r>
        <w:drawing>
          <wp:inline distT="0" distB="0" distL="114300" distR="114300">
            <wp:extent cx="6758940" cy="1506855"/>
            <wp:effectExtent l="0" t="0" r="3810" b="17145"/>
            <wp:docPr id="10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211" cy="1506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widowControl/>
        <w:jc w:val="left"/>
      </w:pPr>
    </w:p>
    <w:p>
      <w:pPr>
        <w:pStyle w:val="5"/>
        <w:ind w:leftChars="100"/>
        <w:rPr>
          <w:rFonts w:hint="eastAsia"/>
        </w:rPr>
      </w:pPr>
      <w:r>
        <w:rPr>
          <w:rFonts w:hint="eastAsia"/>
        </w:rPr>
        <w:t>2.2.6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配置Mapper扫描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指明所有mapper接口所在位置</w:t>
      </w:r>
    </w:p>
    <w:p>
      <w:pPr>
        <w:rPr>
          <w:rFonts w:hint="eastAsia"/>
        </w:rPr>
      </w:pPr>
      <w:r>
        <w:drawing>
          <wp:inline distT="0" distB="0" distL="114300" distR="114300">
            <wp:extent cx="7150735" cy="1225550"/>
            <wp:effectExtent l="0" t="0" r="12065" b="12700"/>
            <wp:docPr id="11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51098" cy="1226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2.3</w:t>
      </w:r>
      <w:r>
        <w:rPr>
          <w:rFonts w:hint="eastAsia"/>
          <w:lang w:val="en-US" w:eastAsia="zh-CN"/>
        </w:rPr>
        <w:t xml:space="preserve"> 配置Bean和依赖注入</w:t>
      </w:r>
    </w:p>
    <w:p>
      <w:pPr>
        <w:pStyle w:val="5"/>
        <w:ind w:leftChars="10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1  </w:t>
      </w:r>
      <w:r>
        <w:rPr>
          <w:rFonts w:hint="eastAsia"/>
        </w:rPr>
        <w:t>持久层依赖Mapper</w:t>
      </w: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完成之前的配置之后，使用@Autowired注解Mapper接口，就可以直接获得</w:t>
      </w:r>
      <w:r>
        <w:rPr>
          <w:rFonts w:hint="eastAsia"/>
          <w:lang w:val="en-US" w:eastAsia="zh-CN"/>
        </w:rPr>
        <w:tab/>
        <w:t>Mapper对象的实例并使用</w:t>
      </w:r>
    </w:p>
    <w:p>
      <w:pPr>
        <w:ind w:firstLine="420" w:firstLineChars="0"/>
      </w:pPr>
      <w:r>
        <w:drawing>
          <wp:inline distT="0" distB="0" distL="114300" distR="114300">
            <wp:extent cx="6622415" cy="1524000"/>
            <wp:effectExtent l="0" t="0" r="6985" b="0"/>
            <wp:docPr id="1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241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20" w:firstLineChars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6313170" cy="1176655"/>
            <wp:effectExtent l="0" t="0" r="11430" b="4445"/>
            <wp:docPr id="1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Chars="1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  服务层依赖持久层对象</w:t>
      </w:r>
    </w:p>
    <w:p>
      <w:pPr>
        <w:pStyle w:val="5"/>
        <w:ind w:firstLine="420" w:firstLineChars="0"/>
        <w:rPr>
          <w:rFonts w:hint="eastAsia"/>
        </w:rPr>
      </w:pPr>
      <w:r>
        <w:drawing>
          <wp:inline distT="0" distB="0" distL="114300" distR="114300">
            <wp:extent cx="7005955" cy="1696085"/>
            <wp:effectExtent l="0" t="0" r="4445" b="18415"/>
            <wp:docPr id="1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5955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</w:rPr>
      </w:pPr>
      <w:r>
        <w:drawing>
          <wp:inline distT="0" distB="0" distL="114300" distR="114300">
            <wp:extent cx="6758940" cy="1463040"/>
            <wp:effectExtent l="0" t="0" r="3810" b="3810"/>
            <wp:docPr id="1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/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212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default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4 事务处理</w:t>
      </w:r>
    </w:p>
    <w:p>
      <w:pPr>
        <w:pStyle w:val="5"/>
        <w:ind w:leftChars="100"/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  声明性事务-只读事务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用户登录操作，需要数据库操作，但不需要事务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使用非事务模式查询：</w:t>
      </w:r>
    </w:p>
    <w:p>
      <w:pPr>
        <w:pStyle w:val="5"/>
      </w:pPr>
      <w:r>
        <w:drawing>
          <wp:inline distT="0" distB="0" distL="114300" distR="114300">
            <wp:extent cx="6875145" cy="1784350"/>
            <wp:effectExtent l="0" t="0" r="1905" b="6350"/>
            <wp:docPr id="20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326" cy="178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012180" cy="1422400"/>
            <wp:effectExtent l="0" t="0" r="7620" b="6350"/>
            <wp:docPr id="21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/>
                    <pic:cNvPicPr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widowControl/>
        <w:ind w:firstLine="420" w:firstLineChars="0"/>
        <w:jc w:val="left"/>
        <w:rPr>
          <w:rFonts w:hint="eastAsia" w:eastAsia="微软雅黑"/>
          <w:lang w:eastAsia="zh-CN"/>
        </w:rPr>
      </w:pPr>
      <w:r>
        <w:rPr>
          <w:rFonts w:hint="eastAsia"/>
        </w:rPr>
        <w:t>使用只读事务查询</w:t>
      </w:r>
      <w:r>
        <w:rPr>
          <w:rFonts w:hint="eastAsia"/>
          <w:lang w:eastAsia="zh-CN"/>
        </w:rPr>
        <w:t>：</w:t>
      </w:r>
    </w:p>
    <w:p>
      <w:pPr>
        <w:widowControl/>
        <w:jc w:val="left"/>
      </w:pPr>
      <w:r>
        <w:drawing>
          <wp:inline distT="0" distB="0" distL="114300" distR="114300">
            <wp:extent cx="6599555" cy="2124710"/>
            <wp:effectExtent l="0" t="0" r="10795" b="8890"/>
            <wp:docPr id="22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/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555" cy="2124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</w:rPr>
      </w:pPr>
      <w:r>
        <w:drawing>
          <wp:inline distT="0" distB="0" distL="114300" distR="114300">
            <wp:extent cx="5800725" cy="2541905"/>
            <wp:effectExtent l="0" t="0" r="9525" b="10795"/>
            <wp:docPr id="23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270" cy="2542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</w:rPr>
      </w:pPr>
    </w:p>
    <w:p>
      <w:pPr>
        <w:pStyle w:val="5"/>
        <w:ind w:leftChars="10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声明性事务-写事务</w:t>
      </w:r>
    </w:p>
    <w:p>
      <w:pPr>
        <w:widowControl/>
        <w:ind w:firstLine="420" w:firstLineChars="0"/>
        <w:jc w:val="left"/>
        <w:rPr>
          <w:rFonts w:hint="eastAsia" w:eastAsia="微软雅黑"/>
          <w:lang w:eastAsia="zh-CN"/>
        </w:rPr>
      </w:pPr>
      <w:r>
        <w:rPr>
          <w:rFonts w:hint="eastAsia"/>
        </w:rPr>
        <w:t>事务控制员工与用户的添加</w:t>
      </w:r>
      <w:r>
        <w:rPr>
          <w:rFonts w:hint="eastAsia"/>
          <w:lang w:eastAsia="zh-CN"/>
        </w:rPr>
        <w:t>：</w:t>
      </w:r>
    </w:p>
    <w:p>
      <w:pPr>
        <w:widowControl/>
        <w:jc w:val="left"/>
        <w:rPr>
          <w:rFonts w:hint="eastAsia"/>
        </w:rPr>
      </w:pPr>
      <w:r>
        <w:drawing>
          <wp:inline distT="0" distB="0" distL="114300" distR="114300">
            <wp:extent cx="6510655" cy="1666875"/>
            <wp:effectExtent l="0" t="0" r="4445" b="9525"/>
            <wp:docPr id="2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/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65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  <w:r>
        <w:drawing>
          <wp:inline distT="0" distB="0" distL="114300" distR="114300">
            <wp:extent cx="6234430" cy="2454910"/>
            <wp:effectExtent l="0" t="0" r="13970" b="2540"/>
            <wp:docPr id="2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"/>
                    <pic:cNvPicPr/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430" cy="245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</w:p>
    <w:p/>
    <w:p>
      <w:pPr>
        <w:widowControl/>
        <w:ind w:firstLine="420" w:firstLineChars="0"/>
        <w:jc w:val="left"/>
        <w:rPr>
          <w:rFonts w:hint="eastAsia" w:eastAsia="微软雅黑"/>
          <w:lang w:eastAsia="zh-CN"/>
        </w:rPr>
      </w:pPr>
      <w:r>
        <w:rPr>
          <w:rFonts w:hint="eastAsia"/>
        </w:rPr>
        <w:t>回滚测试</w:t>
      </w:r>
      <w:r>
        <w:rPr>
          <w:rFonts w:hint="eastAsia"/>
          <w:lang w:eastAsia="zh-CN"/>
        </w:rPr>
        <w:t>：</w:t>
      </w:r>
    </w:p>
    <w:p>
      <w:pPr>
        <w:widowControl/>
        <w:ind w:firstLine="420" w:firstLineChars="0"/>
        <w:jc w:val="left"/>
        <w:rPr>
          <w:rFonts w:hint="eastAsia"/>
        </w:rPr>
      </w:pPr>
      <w:r>
        <w:rPr>
          <w:rFonts w:hint="eastAsia"/>
        </w:rPr>
        <w:t>添加员工成功，添加用户时主动抛出异常，查看员工数据是否回滚了</w:t>
      </w:r>
    </w:p>
    <w:p>
      <w:pPr>
        <w:pStyle w:val="5"/>
      </w:pPr>
      <w:r>
        <w:drawing>
          <wp:inline distT="0" distB="0" distL="114300" distR="114300">
            <wp:extent cx="6904355" cy="887730"/>
            <wp:effectExtent l="0" t="0" r="10795" b="7620"/>
            <wp:docPr id="2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/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355" cy="888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</w:rPr>
      </w:pPr>
      <w:r>
        <w:drawing>
          <wp:inline distT="0" distB="0" distL="114300" distR="114300">
            <wp:extent cx="6028690" cy="2478405"/>
            <wp:effectExtent l="0" t="0" r="10160" b="17145"/>
            <wp:docPr id="2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/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90" cy="247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pStyle w:val="4"/>
        <w:adjustRightInd w:val="0"/>
        <w:snapToGrid w:val="0"/>
        <w:spacing w:line="240" w:lineRule="auto"/>
        <w:ind w:leftChars="200"/>
        <w:rPr>
          <w:rFonts w:hint="eastAsia" w:eastAsia="微软雅黑"/>
          <w:lang w:val="en-US" w:eastAsia="zh-CN"/>
        </w:rPr>
      </w:pPr>
      <w:r>
        <w:t xml:space="preserve"> </w:t>
      </w:r>
      <w:r>
        <w:rPr>
          <w:rFonts w:hint="eastAsia"/>
        </w:rPr>
        <w:t>本节</w:t>
      </w:r>
      <w:r>
        <w:rPr>
          <w:rFonts w:hint="eastAsia"/>
          <w:lang w:val="en-US" w:eastAsia="zh-CN"/>
        </w:rPr>
        <w:t>总结</w:t>
      </w:r>
    </w:p>
    <w:p>
      <w:pPr>
        <w:pStyle w:val="17"/>
        <w:widowControl/>
        <w:numPr>
          <w:ilvl w:val="0"/>
          <w:numId w:val="2"/>
        </w:numPr>
        <w:rPr>
          <w:rFonts w:hint="eastAsia" w:ascii="微软雅黑" w:hAnsi="微软雅黑" w:cs="微软雅黑"/>
        </w:rPr>
      </w:pPr>
      <w:r>
        <w:rPr>
          <w:rFonts w:hint="eastAsia" w:ascii="微软雅黑" w:hAnsi="微软雅黑" w:cs="微软雅黑"/>
        </w:rPr>
        <w:t>Spring整合mybatis，与前面讲的Spring整合JDBC完全不同。</w:t>
      </w:r>
    </w:p>
    <w:p>
      <w:pPr>
        <w:pStyle w:val="17"/>
        <w:widowControl/>
        <w:numPr>
          <w:ilvl w:val="0"/>
          <w:numId w:val="2"/>
        </w:numPr>
        <w:rPr>
          <w:rFonts w:hint="eastAsia" w:ascii="微软雅黑" w:hAnsi="微软雅黑" w:cs="微软雅黑"/>
        </w:rPr>
      </w:pPr>
      <w:r>
        <w:rPr>
          <w:rFonts w:hint="eastAsia" w:ascii="微软雅黑" w:hAnsi="微软雅黑" w:cs="微软雅黑"/>
        </w:rPr>
        <w:t>login()方法，不使用@Transactional(readOnly=true)，不会造成数据库连接不关闭的现象。</w:t>
      </w:r>
    </w:p>
    <w:p>
      <w:pPr>
        <w:pStyle w:val="17"/>
        <w:widowControl/>
        <w:numPr>
          <w:ilvl w:val="0"/>
          <w:numId w:val="2"/>
        </w:numPr>
        <w:rPr>
          <w:rFonts w:hint="eastAsia" w:ascii="微软雅黑" w:hAnsi="微软雅黑" w:cs="微软雅黑"/>
        </w:rPr>
      </w:pPr>
      <w:r>
        <w:rPr>
          <w:rFonts w:hint="eastAsia" w:ascii="微软雅黑" w:hAnsi="微软雅黑" w:cs="微软雅黑"/>
        </w:rPr>
        <w:t>相反，使用了@Transactional(readOnly=true)，不会带来好处，反而会影响性能。</w:t>
      </w:r>
    </w:p>
    <w:p>
      <w:pPr>
        <w:pStyle w:val="5"/>
        <w:rPr>
          <w:rFonts w:hint="eastAsia"/>
        </w:rPr>
      </w:pP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t xml:space="preserve">    </w:t>
      </w: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3"/>
        </w:numPr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使用</w:t>
      </w:r>
      <w:r>
        <w:rPr>
          <w:rFonts w:hint="eastAsia" w:ascii="微软雅黑" w:hAnsi="微软雅黑" w:cs="微软雅黑"/>
          <w:lang w:val="en-US" w:eastAsia="zh-CN"/>
        </w:rPr>
        <w:t>Spring整合</w:t>
      </w:r>
      <w:r>
        <w:rPr>
          <w:rFonts w:hint="eastAsia" w:ascii="微软雅黑" w:hAnsi="微软雅黑" w:cs="微软雅黑"/>
        </w:rPr>
        <w:t>Mybatis完成数据库CRUD操作</w:t>
      </w:r>
      <w:r>
        <w:rPr>
          <w:rFonts w:hint="eastAsia" w:ascii="微软雅黑" w:hAnsi="微软雅黑" w:cs="微软雅黑"/>
          <w:lang w:eastAsia="zh-CN"/>
        </w:rPr>
        <w:t>。</w:t>
      </w:r>
    </w:p>
    <w:p>
      <w:pPr>
        <w:pStyle w:val="17"/>
        <w:widowControl/>
        <w:numPr>
          <w:ilvl w:val="0"/>
          <w:numId w:val="3"/>
        </w:numPr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  <w:lang w:val="en-US" w:eastAsia="zh-CN"/>
        </w:rPr>
        <w:t>使用Spring整合Mybatis验证注解事务的各种场景</w:t>
      </w:r>
      <w:bookmarkStart w:id="10" w:name="_GoBack"/>
      <w:bookmarkEnd w:id="10"/>
    </w:p>
    <w:p>
      <w:pPr>
        <w:pStyle w:val="17"/>
        <w:widowControl/>
        <w:numPr>
          <w:numId w:val="0"/>
        </w:numPr>
        <w:ind w:leftChars="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A9B0E8"/>
    <w:multiLevelType w:val="multilevel"/>
    <w:tmpl w:val="E7A9B0E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ED720A53"/>
    <w:multiLevelType w:val="singleLevel"/>
    <w:tmpl w:val="ED720A5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B2505C5"/>
    <w:multiLevelType w:val="multilevel"/>
    <w:tmpl w:val="7B2505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427D79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135729"/>
    <w:rsid w:val="054D7128"/>
    <w:rsid w:val="05CE30B0"/>
    <w:rsid w:val="06180F76"/>
    <w:rsid w:val="063736B7"/>
    <w:rsid w:val="063802C6"/>
    <w:rsid w:val="06653AAC"/>
    <w:rsid w:val="069F4BCA"/>
    <w:rsid w:val="06B21983"/>
    <w:rsid w:val="06BA0892"/>
    <w:rsid w:val="07454A8E"/>
    <w:rsid w:val="0765243C"/>
    <w:rsid w:val="07B44117"/>
    <w:rsid w:val="07CF509C"/>
    <w:rsid w:val="082574F1"/>
    <w:rsid w:val="08AA288B"/>
    <w:rsid w:val="08D50CBF"/>
    <w:rsid w:val="09C838D6"/>
    <w:rsid w:val="09E17A9D"/>
    <w:rsid w:val="0A57257E"/>
    <w:rsid w:val="0A6445C0"/>
    <w:rsid w:val="0A6F48A3"/>
    <w:rsid w:val="0AC9761D"/>
    <w:rsid w:val="0B3470E9"/>
    <w:rsid w:val="0B640BC7"/>
    <w:rsid w:val="0B6B0A46"/>
    <w:rsid w:val="0B764DFF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6D6CA9"/>
    <w:rsid w:val="11E2545F"/>
    <w:rsid w:val="11E36A35"/>
    <w:rsid w:val="11F9166D"/>
    <w:rsid w:val="120D6B8A"/>
    <w:rsid w:val="12EF106A"/>
    <w:rsid w:val="13227D4A"/>
    <w:rsid w:val="132B3778"/>
    <w:rsid w:val="13AA26A8"/>
    <w:rsid w:val="13BD6C88"/>
    <w:rsid w:val="1442299F"/>
    <w:rsid w:val="145F1452"/>
    <w:rsid w:val="147A2072"/>
    <w:rsid w:val="14E5457D"/>
    <w:rsid w:val="150526A4"/>
    <w:rsid w:val="15730D05"/>
    <w:rsid w:val="1576577A"/>
    <w:rsid w:val="15B66D97"/>
    <w:rsid w:val="15F30864"/>
    <w:rsid w:val="160A56BE"/>
    <w:rsid w:val="161858A8"/>
    <w:rsid w:val="16BB3C94"/>
    <w:rsid w:val="16CF62DD"/>
    <w:rsid w:val="184A0F13"/>
    <w:rsid w:val="18C65FAC"/>
    <w:rsid w:val="18F60B4B"/>
    <w:rsid w:val="195E5289"/>
    <w:rsid w:val="196B4792"/>
    <w:rsid w:val="1981634B"/>
    <w:rsid w:val="199D166F"/>
    <w:rsid w:val="19C34577"/>
    <w:rsid w:val="19DF5CBA"/>
    <w:rsid w:val="1A226057"/>
    <w:rsid w:val="1B095EC0"/>
    <w:rsid w:val="1B7A6917"/>
    <w:rsid w:val="1BD74821"/>
    <w:rsid w:val="1BF55921"/>
    <w:rsid w:val="1CF320EF"/>
    <w:rsid w:val="1DA42309"/>
    <w:rsid w:val="1E7B1515"/>
    <w:rsid w:val="1ECA65F3"/>
    <w:rsid w:val="1EF24495"/>
    <w:rsid w:val="1F165C7D"/>
    <w:rsid w:val="1F390299"/>
    <w:rsid w:val="1F444207"/>
    <w:rsid w:val="1FBC720C"/>
    <w:rsid w:val="1FDE48EB"/>
    <w:rsid w:val="20093F01"/>
    <w:rsid w:val="204D4D1F"/>
    <w:rsid w:val="207120B1"/>
    <w:rsid w:val="2089774B"/>
    <w:rsid w:val="21087E64"/>
    <w:rsid w:val="217335FC"/>
    <w:rsid w:val="219833A3"/>
    <w:rsid w:val="21AF6904"/>
    <w:rsid w:val="21C13617"/>
    <w:rsid w:val="21D81D0B"/>
    <w:rsid w:val="21FE3653"/>
    <w:rsid w:val="2205167B"/>
    <w:rsid w:val="223C5DF4"/>
    <w:rsid w:val="2251468B"/>
    <w:rsid w:val="237C0337"/>
    <w:rsid w:val="23BE4C9A"/>
    <w:rsid w:val="24F95B7A"/>
    <w:rsid w:val="250C7C03"/>
    <w:rsid w:val="25423332"/>
    <w:rsid w:val="25656834"/>
    <w:rsid w:val="25F46C50"/>
    <w:rsid w:val="263B7CE7"/>
    <w:rsid w:val="26C13871"/>
    <w:rsid w:val="27937803"/>
    <w:rsid w:val="27A46162"/>
    <w:rsid w:val="2863595B"/>
    <w:rsid w:val="2878418A"/>
    <w:rsid w:val="29E53F42"/>
    <w:rsid w:val="29F26F60"/>
    <w:rsid w:val="29F77DFE"/>
    <w:rsid w:val="2A5970BA"/>
    <w:rsid w:val="2AAD7CE1"/>
    <w:rsid w:val="2AB222AD"/>
    <w:rsid w:val="2AEC6172"/>
    <w:rsid w:val="2B9C75A1"/>
    <w:rsid w:val="2BB33C7D"/>
    <w:rsid w:val="2C526271"/>
    <w:rsid w:val="2C613FEC"/>
    <w:rsid w:val="2CEC1411"/>
    <w:rsid w:val="2D117373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2FBE4E5C"/>
    <w:rsid w:val="2FC833A1"/>
    <w:rsid w:val="303110AF"/>
    <w:rsid w:val="308162BA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51A05CA"/>
    <w:rsid w:val="36274642"/>
    <w:rsid w:val="365A31DE"/>
    <w:rsid w:val="36D76619"/>
    <w:rsid w:val="370440D4"/>
    <w:rsid w:val="37095FDB"/>
    <w:rsid w:val="37D423D9"/>
    <w:rsid w:val="38025089"/>
    <w:rsid w:val="382822FD"/>
    <w:rsid w:val="38B56F3D"/>
    <w:rsid w:val="38BC2F8C"/>
    <w:rsid w:val="38D64627"/>
    <w:rsid w:val="3915392C"/>
    <w:rsid w:val="3941474B"/>
    <w:rsid w:val="39531A15"/>
    <w:rsid w:val="3995143A"/>
    <w:rsid w:val="39BD5EB4"/>
    <w:rsid w:val="3A1519A9"/>
    <w:rsid w:val="3A455C27"/>
    <w:rsid w:val="3AB81037"/>
    <w:rsid w:val="3ADD6A22"/>
    <w:rsid w:val="3AF461AB"/>
    <w:rsid w:val="3B06383D"/>
    <w:rsid w:val="3B47519C"/>
    <w:rsid w:val="3B5E00A1"/>
    <w:rsid w:val="3C677DBB"/>
    <w:rsid w:val="3CCF7BBD"/>
    <w:rsid w:val="3D1F0941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D21173"/>
    <w:rsid w:val="407173A0"/>
    <w:rsid w:val="40971E6B"/>
    <w:rsid w:val="41482660"/>
    <w:rsid w:val="41580B7C"/>
    <w:rsid w:val="4347654C"/>
    <w:rsid w:val="439A5897"/>
    <w:rsid w:val="43A42073"/>
    <w:rsid w:val="43F75FE5"/>
    <w:rsid w:val="440A082D"/>
    <w:rsid w:val="443E6D05"/>
    <w:rsid w:val="44CB0C89"/>
    <w:rsid w:val="45444C07"/>
    <w:rsid w:val="457F65E7"/>
    <w:rsid w:val="46C17214"/>
    <w:rsid w:val="470024B5"/>
    <w:rsid w:val="47B8652B"/>
    <w:rsid w:val="483F5992"/>
    <w:rsid w:val="486A1FD1"/>
    <w:rsid w:val="49170401"/>
    <w:rsid w:val="493A6F3B"/>
    <w:rsid w:val="494644FC"/>
    <w:rsid w:val="49711ED1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603EAC"/>
    <w:rsid w:val="4CB67DB7"/>
    <w:rsid w:val="4CCA29F8"/>
    <w:rsid w:val="4D275290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E1761D"/>
    <w:rsid w:val="5323221F"/>
    <w:rsid w:val="537F0036"/>
    <w:rsid w:val="53857922"/>
    <w:rsid w:val="53A84635"/>
    <w:rsid w:val="53C103D4"/>
    <w:rsid w:val="54A2025B"/>
    <w:rsid w:val="54B12822"/>
    <w:rsid w:val="54BC4C1E"/>
    <w:rsid w:val="54CA2B67"/>
    <w:rsid w:val="54FF0A7D"/>
    <w:rsid w:val="552A0C41"/>
    <w:rsid w:val="55B35531"/>
    <w:rsid w:val="55C3077A"/>
    <w:rsid w:val="56177D8A"/>
    <w:rsid w:val="56596B2A"/>
    <w:rsid w:val="572A1AE6"/>
    <w:rsid w:val="5734391F"/>
    <w:rsid w:val="57476E52"/>
    <w:rsid w:val="574F2B47"/>
    <w:rsid w:val="578233F4"/>
    <w:rsid w:val="579262F4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9A44CA7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44BB5"/>
    <w:rsid w:val="5D3822CE"/>
    <w:rsid w:val="5DA338B5"/>
    <w:rsid w:val="5E3569D5"/>
    <w:rsid w:val="5E6E72C7"/>
    <w:rsid w:val="5E8C69F4"/>
    <w:rsid w:val="5ECA130B"/>
    <w:rsid w:val="5EDC3764"/>
    <w:rsid w:val="5F063C85"/>
    <w:rsid w:val="5FEF14BC"/>
    <w:rsid w:val="60083DEC"/>
    <w:rsid w:val="600E378D"/>
    <w:rsid w:val="60372011"/>
    <w:rsid w:val="605B32A1"/>
    <w:rsid w:val="60802C79"/>
    <w:rsid w:val="60C17C87"/>
    <w:rsid w:val="60E4560C"/>
    <w:rsid w:val="614E719C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762A5C"/>
    <w:rsid w:val="649142C5"/>
    <w:rsid w:val="64DB1BD9"/>
    <w:rsid w:val="667472AE"/>
    <w:rsid w:val="66771896"/>
    <w:rsid w:val="67AA0D23"/>
    <w:rsid w:val="68D53FB3"/>
    <w:rsid w:val="6964568F"/>
    <w:rsid w:val="69FE1649"/>
    <w:rsid w:val="6A050E07"/>
    <w:rsid w:val="6A446764"/>
    <w:rsid w:val="6A4E1FF3"/>
    <w:rsid w:val="6A580B9B"/>
    <w:rsid w:val="6A984A70"/>
    <w:rsid w:val="6A9D5D43"/>
    <w:rsid w:val="6AAD7855"/>
    <w:rsid w:val="6BAA20E0"/>
    <w:rsid w:val="6C4673AC"/>
    <w:rsid w:val="6C4A1232"/>
    <w:rsid w:val="6C943607"/>
    <w:rsid w:val="6CAE0205"/>
    <w:rsid w:val="6CE1278C"/>
    <w:rsid w:val="6D0D34FB"/>
    <w:rsid w:val="6D2C437A"/>
    <w:rsid w:val="6D402482"/>
    <w:rsid w:val="6D8B46AD"/>
    <w:rsid w:val="6DA655E8"/>
    <w:rsid w:val="6DCC7893"/>
    <w:rsid w:val="6DDE1119"/>
    <w:rsid w:val="6E0516F4"/>
    <w:rsid w:val="6ED56D48"/>
    <w:rsid w:val="6FB809B7"/>
    <w:rsid w:val="70503DFC"/>
    <w:rsid w:val="70AA55FF"/>
    <w:rsid w:val="70FA39A8"/>
    <w:rsid w:val="716356AA"/>
    <w:rsid w:val="71B27749"/>
    <w:rsid w:val="71C035B0"/>
    <w:rsid w:val="71D176A1"/>
    <w:rsid w:val="72090D27"/>
    <w:rsid w:val="7236251F"/>
    <w:rsid w:val="725B5E46"/>
    <w:rsid w:val="72BD1DE3"/>
    <w:rsid w:val="72C156BF"/>
    <w:rsid w:val="732C3280"/>
    <w:rsid w:val="733C6405"/>
    <w:rsid w:val="73766E7A"/>
    <w:rsid w:val="74292174"/>
    <w:rsid w:val="74B02086"/>
    <w:rsid w:val="74F62A44"/>
    <w:rsid w:val="751E1A4B"/>
    <w:rsid w:val="75DB6A60"/>
    <w:rsid w:val="76034323"/>
    <w:rsid w:val="765E1C41"/>
    <w:rsid w:val="76C22FF3"/>
    <w:rsid w:val="76C44F75"/>
    <w:rsid w:val="7717613C"/>
    <w:rsid w:val="773457D3"/>
    <w:rsid w:val="77613194"/>
    <w:rsid w:val="77840195"/>
    <w:rsid w:val="77841A75"/>
    <w:rsid w:val="77A6061E"/>
    <w:rsid w:val="77A6500C"/>
    <w:rsid w:val="780A06D6"/>
    <w:rsid w:val="793B66A2"/>
    <w:rsid w:val="797F7754"/>
    <w:rsid w:val="7A002464"/>
    <w:rsid w:val="7A324A15"/>
    <w:rsid w:val="7A7A519A"/>
    <w:rsid w:val="7AFC3827"/>
    <w:rsid w:val="7B3828E8"/>
    <w:rsid w:val="7B703758"/>
    <w:rsid w:val="7BAE7478"/>
    <w:rsid w:val="7BE157E7"/>
    <w:rsid w:val="7BFA59CD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9D777E"/>
    <w:rsid w:val="7EDA65FB"/>
    <w:rsid w:val="7EF93508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3</TotalTime>
  <ScaleCrop>false</ScaleCrop>
  <LinksUpToDate>false</LinksUpToDate>
  <CharactersWithSpaces>6068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Wxyst</cp:lastModifiedBy>
  <dcterms:modified xsi:type="dcterms:W3CDTF">2020-08-17T03:38:54Z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