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6A46B3F7">
            <w:pPr>
              <w:jc w:val="left"/>
              <w:rPr>
                <w:rFonts w:ascii="宋体" w:hAnsi="宋体"/>
                <w:b/>
                <w:sz w:val="24"/>
              </w:rPr>
            </w:pPr>
            <w:r>
              <w:rPr>
                <w:rFonts w:hint="eastAsia" w:ascii="宋体" w:hAnsi="宋体"/>
                <w:b/>
                <w:sz w:val="24"/>
              </w:rPr>
              <w:t>单元</w:t>
            </w:r>
            <w:r>
              <w:rPr>
                <w:rFonts w:hint="eastAsia" w:ascii="宋体" w:hAnsi="宋体"/>
                <w:b/>
                <w:sz w:val="24"/>
                <w:lang w:val="en-US" w:eastAsia="zh-CN"/>
              </w:rPr>
              <w:t>8</w:t>
            </w:r>
            <w:r>
              <w:rPr>
                <w:rFonts w:hint="eastAsia" w:ascii="宋体" w:hAnsi="宋体"/>
                <w:b/>
                <w:sz w:val="24"/>
              </w:rPr>
              <w:t xml:space="preserve"> 事务管理</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628A5081">
            <w:pPr>
              <w:ind w:firstLine="210" w:firstLineChars="100"/>
              <w:rPr>
                <w:rFonts w:ascii="宋体" w:hAnsi="宋体" w:cs="宋体"/>
                <w:szCs w:val="21"/>
              </w:rPr>
            </w:pPr>
            <w:r>
              <w:rPr>
                <w:rFonts w:hint="eastAsia" w:ascii="宋体" w:hAnsi="宋体" w:cs="宋体"/>
                <w:kern w:val="2"/>
                <w:sz w:val="21"/>
                <w:szCs w:val="21"/>
                <w:lang w:val="en-US" w:eastAsia="zh-CN" w:bidi="ar-SA"/>
              </w:rPr>
              <w:t>1、</w:t>
            </w:r>
            <w:r>
              <w:rPr>
                <w:rFonts w:hint="eastAsia" w:ascii="宋体" w:hAnsi="宋体" w:eastAsia="宋体" w:cs="宋体"/>
                <w:kern w:val="2"/>
                <w:sz w:val="21"/>
                <w:szCs w:val="21"/>
                <w:lang w:val="en-US" w:eastAsia="zh-CN" w:bidi="ar-SA"/>
              </w:rPr>
              <w:t>熟悉声明式事务</w:t>
            </w:r>
          </w:p>
          <w:p w14:paraId="6F3F528F">
            <w:pPr>
              <w:ind w:firstLine="210" w:firstLineChars="100"/>
              <w:rPr>
                <w:rFonts w:ascii="宋体" w:hAnsi="宋体" w:cs="宋体"/>
                <w:szCs w:val="21"/>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54D316A9">
            <w:pPr>
              <w:numPr>
                <w:numId w:val="0"/>
              </w:numPr>
              <w:ind w:firstLine="210" w:firstLineChars="100"/>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1、</w:t>
            </w:r>
            <w:r>
              <w:rPr>
                <w:rFonts w:hint="eastAsia" w:ascii="宋体" w:hAnsi="宋体" w:eastAsia="宋体" w:cs="宋体"/>
                <w:kern w:val="2"/>
                <w:sz w:val="21"/>
                <w:szCs w:val="21"/>
                <w:lang w:val="en-US" w:eastAsia="zh-CN" w:bidi="ar-SA"/>
              </w:rPr>
              <w:t>掌握声明式事务管理</w:t>
            </w:r>
          </w:p>
          <w:p w14:paraId="4177035C">
            <w:pPr>
              <w:numPr>
                <w:numId w:val="0"/>
              </w:numPr>
              <w:ind w:firstLine="210" w:firstLineChars="100"/>
              <w:rPr>
                <w:rFonts w:hint="eastAsia" w:ascii="仿宋" w:hAnsi="仿宋" w:eastAsia="仿宋" w:cs="Segoe UI"/>
                <w:color w:val="120649"/>
                <w:sz w:val="18"/>
                <w:szCs w:val="18"/>
                <w:shd w:val="clear" w:color="auto" w:fill="FDFDFE"/>
              </w:rPr>
            </w:pPr>
            <w:r>
              <w:rPr>
                <w:rFonts w:hint="eastAsia" w:ascii="宋体" w:hAnsi="宋体" w:cs="宋体"/>
                <w:kern w:val="2"/>
                <w:sz w:val="21"/>
                <w:szCs w:val="21"/>
                <w:lang w:val="en-US" w:eastAsia="zh-CN" w:bidi="ar-SA"/>
              </w:rPr>
              <w:t>2、</w:t>
            </w:r>
            <w:r>
              <w:rPr>
                <w:rFonts w:hint="eastAsia" w:ascii="宋体" w:hAnsi="宋体" w:eastAsia="宋体" w:cs="宋体"/>
                <w:kern w:val="2"/>
                <w:sz w:val="21"/>
                <w:szCs w:val="21"/>
                <w:lang w:val="en-US" w:eastAsia="zh-CN" w:bidi="ar-SA"/>
              </w:rPr>
              <w:t>使用Spring进行事务管理</w:t>
            </w: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185773C0">
            <w:pPr>
              <w:numPr>
                <w:ilvl w:val="0"/>
                <w:numId w:val="0"/>
              </w:numPr>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学</w:t>
            </w:r>
            <w:r>
              <w:rPr>
                <w:rFonts w:hint="eastAsia" w:ascii="宋体" w:hAnsi="宋体" w:eastAsia="宋体" w:cs="宋体"/>
                <w:kern w:val="2"/>
                <w:sz w:val="21"/>
                <w:szCs w:val="21"/>
                <w:lang w:val="en-US" w:eastAsia="zh-CN" w:bidi="ar-SA"/>
              </w:rPr>
              <w:t>生能够准确阐述事务的基本概念和四大特性（ACID：原子性、一致性、隔离性、持久性），理解每个特性在数据完整性保障中的作用。</w:t>
            </w:r>
            <w:r>
              <w:rPr>
                <w:rFonts w:hint="default" w:ascii="宋体" w:hAnsi="宋体" w:eastAsia="宋体" w:cs="宋体"/>
                <w:kern w:val="2"/>
                <w:sz w:val="21"/>
                <w:szCs w:val="21"/>
                <w:lang w:val="en-US" w:eastAsia="zh-CN" w:bidi="ar-SA"/>
              </w:rPr>
              <w:t>​</w:t>
            </w:r>
          </w:p>
          <w:p w14:paraId="04C5BCC8">
            <w:pPr>
              <w:numPr>
                <w:ilvl w:val="0"/>
                <w:numId w:val="0"/>
              </w:numPr>
              <w:ind w:firstLine="420" w:firstLineChars="200"/>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熟练掌握 Java 中事务管理的多种方式，包括 JDBC 原生事务管理、Spring 框架的声明式事务管理和编程式事务管理，明确不同方式的原理、适用场景及优缺点。​</w:t>
            </w:r>
          </w:p>
          <w:p w14:paraId="0CA915CA">
            <w:pPr>
              <w:numPr>
                <w:ilvl w:val="0"/>
                <w:numId w:val="0"/>
              </w:numPr>
              <w:ind w:firstLine="420" w:firstLineChars="200"/>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深入理解事务隔离级别（读未提交、读已提交、可重复读、串行化）的含义和区别，掌握在不同业务场景下合理选择事务隔离级别的方法。</w:t>
            </w:r>
          </w:p>
          <w:p w14:paraId="16EAD1D2">
            <w:pPr>
              <w:pStyle w:val="7"/>
              <w:spacing w:before="0" w:beforeAutospacing="0" w:after="0" w:afterAutospacing="0"/>
              <w:ind w:firstLine="48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3BFADE2A">
            <w:pPr>
              <w:pStyle w:val="7"/>
              <w:spacing w:before="0" w:beforeAutospacing="0" w:after="0" w:afterAutospacing="0"/>
              <w:rPr>
                <w:kern w:val="2"/>
              </w:rPr>
            </w:pPr>
            <w:r>
              <w:rPr>
                <w:rFonts w:hint="eastAsia"/>
                <w:kern w:val="2"/>
              </w:rPr>
              <w:t>1.</w:t>
            </w:r>
            <w:r>
              <w:rPr>
                <w:rFonts w:hint="eastAsia"/>
              </w:rPr>
              <w:t xml:space="preserve"> </w:t>
            </w:r>
            <w:r>
              <w:rPr>
                <w:rFonts w:hint="eastAsia" w:cs="宋体"/>
                <w:sz w:val="21"/>
                <w:szCs w:val="21"/>
              </w:rPr>
              <w:t>熟悉</w:t>
            </w:r>
            <w:r>
              <w:rPr>
                <w:rFonts w:hint="eastAsia" w:ascii="宋体" w:hAnsi="宋体" w:eastAsia="宋体" w:cs="宋体"/>
                <w:kern w:val="2"/>
                <w:sz w:val="21"/>
                <w:szCs w:val="21"/>
                <w:lang w:val="en-US" w:eastAsia="zh-CN" w:bidi="ar-SA"/>
              </w:rPr>
              <w:t>声明式事务管理</w:t>
            </w:r>
            <w:r>
              <w:rPr>
                <w:rFonts w:hint="eastAsia" w:cs="宋体"/>
                <w:sz w:val="21"/>
                <w:szCs w:val="21"/>
              </w:rPr>
              <w:t>技术</w:t>
            </w:r>
          </w:p>
          <w:p w14:paraId="2229B43F">
            <w:pPr>
              <w:pStyle w:val="7"/>
              <w:spacing w:before="0" w:beforeAutospacing="0" w:after="0" w:afterAutospacing="0"/>
              <w:rPr>
                <w:kern w:val="2"/>
              </w:rPr>
            </w:pPr>
            <w:r>
              <w:rPr>
                <w:rFonts w:hint="eastAsia"/>
                <w:kern w:val="2"/>
              </w:rPr>
              <w:t>【难点】</w:t>
            </w:r>
          </w:p>
          <w:p w14:paraId="26594FDA">
            <w:pPr>
              <w:pStyle w:val="7"/>
              <w:spacing w:before="0" w:beforeAutospacing="0" w:after="0" w:afterAutospacing="0"/>
            </w:pPr>
            <w:r>
              <w:rPr>
                <w:rFonts w:hint="eastAsia" w:cs="宋体"/>
                <w:sz w:val="21"/>
                <w:szCs w:val="21"/>
              </w:rPr>
              <w:t>1.</w:t>
            </w:r>
            <w:r>
              <w:rPr>
                <w:rFonts w:hint="eastAsia"/>
              </w:rPr>
              <w:t xml:space="preserve"> </w:t>
            </w:r>
            <w:r>
              <w:rPr>
                <w:rFonts w:hint="eastAsia" w:cs="宋体"/>
                <w:sz w:val="21"/>
                <w:szCs w:val="21"/>
              </w:rPr>
              <w:t>熟悉</w:t>
            </w:r>
            <w:r>
              <w:rPr>
                <w:rFonts w:hint="eastAsia" w:ascii="宋体" w:hAnsi="宋体" w:eastAsia="宋体" w:cs="宋体"/>
                <w:kern w:val="2"/>
                <w:sz w:val="21"/>
                <w:szCs w:val="21"/>
                <w:lang w:val="en-US" w:eastAsia="zh-CN" w:bidi="ar-SA"/>
              </w:rPr>
              <w:t>Spring进行事务管理</w:t>
            </w:r>
            <w:r>
              <w:rPr>
                <w:rFonts w:hint="eastAsia" w:cs="宋体"/>
                <w:sz w:val="21"/>
                <w:szCs w:val="21"/>
              </w:rPr>
              <w:t>技术</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1854835</wp:posOffset>
                      </wp:positionH>
                      <wp:positionV relativeFrom="paragraph">
                        <wp:posOffset>21590</wp:posOffset>
                      </wp:positionV>
                      <wp:extent cx="2786380" cy="30734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64DE03">
                                  <w:pPr>
                                    <w:numPr>
                                      <w:ilvl w:val="0"/>
                                      <w:numId w:val="1"/>
                                    </w:numPr>
                                    <w:spacing w:line="300" w:lineRule="atLeast"/>
                                  </w:pPr>
                                  <w:r>
                                    <w:rPr>
                                      <w:rFonts w:hint="eastAsia" w:ascii="宋体" w:hAnsi="宋体" w:eastAsia="宋体" w:cs="宋体"/>
                                      <w:kern w:val="2"/>
                                      <w:sz w:val="21"/>
                                      <w:szCs w:val="21"/>
                                      <w:lang w:val="en-US" w:eastAsia="zh-CN" w:bidi="ar-SA"/>
                                    </w:rPr>
                                    <w:t>事务管理</w:t>
                                  </w:r>
                                  <w:r>
                                    <w:rPr>
                                      <w:rFonts w:hint="eastAsia"/>
                                    </w:rPr>
                                    <w:t>入门概述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05pt;margin-top:1.7pt;height:24.2pt;width:219.4pt;z-index:251664384;mso-width-relative:page;mso-height-relative:page;" filled="f" stroked="f" coordsize="21600,21600" o:gfxdata="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1cfDf2AAAAAgBAAAPAAAAAAAAAAEAIAAAACIAAABk&#10;cnMvZG93bnJldi54bWxQSwECFAAUAAAACACHTuJAl0rC3T8CAAB2BAAADgAAAAAAAAABACAAAAAn&#10;AQAAZHJzL2Uyb0RvYy54bWxQSwUGAAAAAAYABgBZAQAA2AUAAAAA&#10;">
                      <v:fill on="f" focussize="0,0"/>
                      <v:stroke on="f" weight="0.5pt"/>
                      <v:imagedata o:title=""/>
                      <o:lock v:ext="edit" aspectratio="f"/>
                      <v:textbox inset="1mm,1mm,1mm,1mm">
                        <w:txbxContent>
                          <w:p w14:paraId="0F64DE03">
                            <w:pPr>
                              <w:numPr>
                                <w:ilvl w:val="0"/>
                                <w:numId w:val="1"/>
                              </w:numPr>
                              <w:spacing w:line="300" w:lineRule="atLeast"/>
                            </w:pPr>
                            <w:r>
                              <w:rPr>
                                <w:rFonts w:hint="eastAsia" w:ascii="宋体" w:hAnsi="宋体" w:eastAsia="宋体" w:cs="宋体"/>
                                <w:kern w:val="2"/>
                                <w:sz w:val="21"/>
                                <w:szCs w:val="21"/>
                                <w:lang w:val="en-US" w:eastAsia="zh-CN" w:bidi="ar-SA"/>
                              </w:rPr>
                              <w:t>事务管理</w:t>
                            </w:r>
                            <w:r>
                              <w:rPr>
                                <w:rFonts w:hint="eastAsia"/>
                              </w:rPr>
                              <w:t>入门概述</w:t>
                            </w:r>
                          </w:p>
                        </w:txbxContent>
                      </v:textbox>
                    </v:shape>
                  </w:pict>
                </mc:Fallback>
              </mc:AlternateContent>
            </w:r>
          </w:p>
          <w:p w14:paraId="4D3B4837">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191770</wp:posOffset>
                      </wp:positionV>
                      <wp:extent cx="3085465" cy="46418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64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D599C">
                                  <w:pPr>
                                    <w:numPr>
                                      <w:ilvl w:val="0"/>
                                      <w:numId w:val="1"/>
                                    </w:numPr>
                                  </w:pPr>
                                  <w:r>
                                    <w:rPr>
                                      <w:rFonts w:hint="eastAsia" w:ascii="宋体" w:hAnsi="宋体" w:eastAsia="宋体" w:cs="宋体"/>
                                      <w:kern w:val="2"/>
                                      <w:sz w:val="21"/>
                                      <w:szCs w:val="21"/>
                                      <w:lang w:val="en-US" w:eastAsia="zh-CN" w:bidi="ar-SA"/>
                                    </w:rPr>
                                    <w:t>事务管理</w:t>
                                  </w:r>
                                  <w:r>
                                    <w:rPr>
                                      <w:rFonts w:hint="eastAsia"/>
                                    </w:rPr>
                                    <w:t>组成</w:t>
                                  </w:r>
                                </w:p>
                                <w:p w14:paraId="13935F43">
                                  <w:pPr>
                                    <w:ind w:firstLine="210" w:firstLineChars="100"/>
                                  </w:pPr>
                                  <w:r>
                                    <w:rPr>
                                      <w:rFonts w:hint="eastAsia" w:ascii="宋体" w:hAnsi="宋体" w:eastAsia="宋体" w:cs="宋体"/>
                                      <w:kern w:val="2"/>
                                      <w:sz w:val="21"/>
                                      <w:szCs w:val="21"/>
                                      <w:lang w:val="en-US" w:eastAsia="zh-CN" w:bidi="ar-SA"/>
                                    </w:rPr>
                                    <w:t>事务管理版本类型</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15.1pt;height:36.55pt;width:242.95pt;z-index:251661312;mso-width-relative:page;mso-height-relative:page;" filled="f" stroked="f" coordsize="21600,21600" o:gfxdata="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ohHSX2gAAAAoBAAAPAAAA&#10;AAAAAAEAIAAAACIAAABkcnMvZG93bnJldi54bWxQSwECFAAUAAAACACHTuJApd6p0kwCAACCBAAA&#10;DgAAAAAAAAABACAAAAApAQAAZHJzL2Uyb0RvYy54bWxQSwUGAAAAAAYABgBZAQAA5wUAAAAA&#10;">
                      <v:fill on="f" focussize="0,0"/>
                      <v:stroke on="f" weight="0.5pt"/>
                      <v:imagedata o:title=""/>
                      <o:lock v:ext="edit" aspectratio="f"/>
                      <v:textbox inset="2mm,1mm,2mm,1mm">
                        <w:txbxContent>
                          <w:p w14:paraId="13ED599C">
                            <w:pPr>
                              <w:numPr>
                                <w:ilvl w:val="0"/>
                                <w:numId w:val="1"/>
                              </w:numPr>
                            </w:pPr>
                            <w:r>
                              <w:rPr>
                                <w:rFonts w:hint="eastAsia" w:ascii="宋体" w:hAnsi="宋体" w:eastAsia="宋体" w:cs="宋体"/>
                                <w:kern w:val="2"/>
                                <w:sz w:val="21"/>
                                <w:szCs w:val="21"/>
                                <w:lang w:val="en-US" w:eastAsia="zh-CN" w:bidi="ar-SA"/>
                              </w:rPr>
                              <w:t>事务管理</w:t>
                            </w:r>
                            <w:r>
                              <w:rPr>
                                <w:rFonts w:hint="eastAsia"/>
                              </w:rPr>
                              <w:t>组成</w:t>
                            </w:r>
                          </w:p>
                          <w:p w14:paraId="13935F43">
                            <w:pPr>
                              <w:ind w:firstLine="210" w:firstLineChars="100"/>
                            </w:pPr>
                            <w:r>
                              <w:rPr>
                                <w:rFonts w:hint="eastAsia" w:ascii="宋体" w:hAnsi="宋体" w:eastAsia="宋体" w:cs="宋体"/>
                                <w:kern w:val="2"/>
                                <w:sz w:val="21"/>
                                <w:szCs w:val="21"/>
                                <w:lang w:val="en-US" w:eastAsia="zh-CN" w:bidi="ar-SA"/>
                              </w:rPr>
                              <w:t>事务管理版本类型</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eastAsia="宋体" w:cs="宋体"/>
                                      <w:kern w:val="2"/>
                                      <w:sz w:val="21"/>
                                      <w:szCs w:val="21"/>
                                      <w:lang w:val="en-US" w:eastAsia="zh-CN" w:bidi="ar-SA"/>
                                    </w:rPr>
                                    <w:t>事务管理主要特点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eastAsia="宋体" w:cs="宋体"/>
                                <w:kern w:val="2"/>
                                <w:sz w:val="21"/>
                                <w:szCs w:val="21"/>
                                <w:lang w:val="en-US" w:eastAsia="zh-CN" w:bidi="ar-SA"/>
                              </w:rPr>
                              <w:t>事务管理主要特点</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事务管理</w:t>
            </w:r>
            <w:r>
              <w:rPr>
                <w:rFonts w:hint="eastAsia" w:ascii="宋体" w:hAnsi="宋体"/>
                <w:sz w:val="24"/>
              </w:rPr>
              <w:t>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6764" w:type="dxa"/>
            <w:vAlign w:val="center"/>
          </w:tcPr>
          <w:p w14:paraId="4687A855">
            <w:pPr>
              <w:jc w:val="center"/>
              <w:rPr>
                <w:rFonts w:ascii="宋体" w:hAnsi="宋体"/>
                <w:b/>
                <w:sz w:val="24"/>
              </w:rPr>
            </w:pPr>
            <w:r>
              <w:rPr>
                <w:rFonts w:hint="eastAsia" w:ascii="宋体" w:hAnsi="宋体"/>
                <w:b/>
                <w:sz w:val="24"/>
              </w:rPr>
              <w:t>教    学    内    容</w:t>
            </w:r>
          </w:p>
        </w:tc>
        <w:tc>
          <w:tcPr>
            <w:tcW w:w="1467"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7F2A8CF7">
            <w:pPr>
              <w:spacing w:line="400" w:lineRule="exact"/>
              <w:jc w:val="center"/>
              <w:rPr>
                <w:sz w:val="24"/>
              </w:rPr>
            </w:pPr>
          </w:p>
          <w:p w14:paraId="1E6ED6CB">
            <w:pPr>
              <w:spacing w:line="400" w:lineRule="exact"/>
              <w:jc w:val="center"/>
              <w:rPr>
                <w:sz w:val="24"/>
              </w:rPr>
            </w:pPr>
          </w:p>
          <w:p w14:paraId="2607788B">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043FA48D">
            <w:pPr>
              <w:spacing w:line="400" w:lineRule="exact"/>
              <w:jc w:val="center"/>
              <w:rPr>
                <w:sz w:val="24"/>
              </w:rPr>
            </w:pPr>
          </w:p>
          <w:p w14:paraId="18986B53">
            <w:pPr>
              <w:spacing w:line="400" w:lineRule="exact"/>
              <w:jc w:val="center"/>
              <w:rPr>
                <w:sz w:val="24"/>
              </w:rPr>
            </w:pPr>
          </w:p>
          <w:p w14:paraId="2A5A082D">
            <w:pPr>
              <w:spacing w:line="400" w:lineRule="exact"/>
              <w:jc w:val="center"/>
              <w:rPr>
                <w:sz w:val="24"/>
              </w:rPr>
            </w:pPr>
          </w:p>
          <w:p w14:paraId="5AF86297">
            <w:pPr>
              <w:spacing w:line="400" w:lineRule="exact"/>
              <w:jc w:val="center"/>
              <w:rPr>
                <w:sz w:val="24"/>
              </w:rPr>
            </w:pPr>
          </w:p>
          <w:p w14:paraId="05EB1632">
            <w:pPr>
              <w:spacing w:line="400" w:lineRule="exact"/>
              <w:jc w:val="center"/>
              <w:rPr>
                <w:sz w:val="24"/>
              </w:rPr>
            </w:pPr>
          </w:p>
          <w:p w14:paraId="26BF3FC0">
            <w:pPr>
              <w:spacing w:line="400" w:lineRule="exact"/>
              <w:jc w:val="center"/>
              <w:rPr>
                <w:sz w:val="24"/>
              </w:rPr>
            </w:pPr>
          </w:p>
          <w:p w14:paraId="11FD7C73">
            <w:pPr>
              <w:spacing w:line="400" w:lineRule="exact"/>
              <w:jc w:val="center"/>
              <w:rPr>
                <w:sz w:val="24"/>
              </w:rPr>
            </w:pPr>
          </w:p>
          <w:p w14:paraId="449BF722">
            <w:pPr>
              <w:spacing w:line="400" w:lineRule="exact"/>
              <w:jc w:val="center"/>
              <w:rPr>
                <w:sz w:val="24"/>
              </w:rPr>
            </w:pPr>
          </w:p>
          <w:p w14:paraId="2E64A566">
            <w:pPr>
              <w:spacing w:line="400" w:lineRule="exact"/>
              <w:jc w:val="center"/>
              <w:rPr>
                <w:sz w:val="24"/>
              </w:rPr>
            </w:pPr>
          </w:p>
          <w:p w14:paraId="662A0FEC">
            <w:pPr>
              <w:spacing w:line="400" w:lineRule="exact"/>
              <w:jc w:val="center"/>
              <w:rPr>
                <w:sz w:val="24"/>
              </w:rPr>
            </w:pPr>
          </w:p>
          <w:p w14:paraId="76B1B0B7">
            <w:pPr>
              <w:spacing w:line="400" w:lineRule="exact"/>
              <w:jc w:val="center"/>
              <w:rPr>
                <w:sz w:val="24"/>
              </w:rPr>
            </w:pPr>
          </w:p>
          <w:p w14:paraId="19D55079">
            <w:pPr>
              <w:spacing w:line="400" w:lineRule="exact"/>
              <w:jc w:val="center"/>
              <w:rPr>
                <w:sz w:val="24"/>
              </w:rPr>
            </w:pPr>
          </w:p>
          <w:p w14:paraId="277CEC54">
            <w:pPr>
              <w:spacing w:line="400" w:lineRule="exact"/>
              <w:jc w:val="center"/>
              <w:rPr>
                <w:sz w:val="24"/>
              </w:rPr>
            </w:pPr>
          </w:p>
          <w:p w14:paraId="7E831918">
            <w:pPr>
              <w:spacing w:line="400" w:lineRule="exact"/>
              <w:jc w:val="center"/>
              <w:rPr>
                <w:sz w:val="24"/>
              </w:rPr>
            </w:pPr>
          </w:p>
          <w:p w14:paraId="0666B1F9">
            <w:pPr>
              <w:spacing w:line="400" w:lineRule="exact"/>
              <w:jc w:val="center"/>
              <w:rPr>
                <w:sz w:val="24"/>
              </w:rPr>
            </w:pPr>
          </w:p>
          <w:p w14:paraId="2CC64180">
            <w:pPr>
              <w:spacing w:line="400" w:lineRule="exact"/>
              <w:jc w:val="center"/>
              <w:rPr>
                <w:sz w:val="24"/>
              </w:rPr>
            </w:pPr>
          </w:p>
          <w:p w14:paraId="4CCB8D23">
            <w:pPr>
              <w:spacing w:line="400" w:lineRule="exact"/>
              <w:jc w:val="center"/>
              <w:rPr>
                <w:sz w:val="24"/>
              </w:rPr>
            </w:pPr>
          </w:p>
          <w:p w14:paraId="37F2560D">
            <w:pPr>
              <w:spacing w:line="400" w:lineRule="exact"/>
              <w:jc w:val="center"/>
              <w:rPr>
                <w:sz w:val="24"/>
              </w:rPr>
            </w:pPr>
          </w:p>
          <w:p w14:paraId="66DBFE7F">
            <w:pPr>
              <w:spacing w:line="400" w:lineRule="exact"/>
              <w:jc w:val="center"/>
              <w:rPr>
                <w:sz w:val="24"/>
              </w:rPr>
            </w:pPr>
          </w:p>
          <w:p w14:paraId="20BF3CCF">
            <w:pPr>
              <w:spacing w:line="400" w:lineRule="exact"/>
              <w:jc w:val="center"/>
              <w:rPr>
                <w:sz w:val="24"/>
              </w:rPr>
            </w:pPr>
          </w:p>
          <w:p w14:paraId="638C8F8A">
            <w:pPr>
              <w:spacing w:line="400" w:lineRule="exact"/>
              <w:jc w:val="center"/>
              <w:rPr>
                <w:sz w:val="24"/>
              </w:rPr>
            </w:pPr>
          </w:p>
          <w:p w14:paraId="226B7FC5">
            <w:pPr>
              <w:spacing w:line="400" w:lineRule="exact"/>
              <w:jc w:val="center"/>
              <w:rPr>
                <w:sz w:val="24"/>
              </w:rPr>
            </w:pPr>
          </w:p>
          <w:p w14:paraId="11116BDB">
            <w:pPr>
              <w:spacing w:line="400" w:lineRule="exact"/>
              <w:jc w:val="center"/>
              <w:rPr>
                <w:sz w:val="24"/>
              </w:rPr>
            </w:pPr>
          </w:p>
          <w:p w14:paraId="4B8FAC09">
            <w:pPr>
              <w:spacing w:line="400" w:lineRule="exact"/>
              <w:jc w:val="both"/>
              <w:rPr>
                <w:b/>
                <w:sz w:val="24"/>
              </w:rPr>
            </w:pPr>
          </w:p>
          <w:p w14:paraId="43F77DF5">
            <w:pPr>
              <w:spacing w:line="400" w:lineRule="exact"/>
              <w:jc w:val="center"/>
              <w:rPr>
                <w:b/>
                <w:sz w:val="24"/>
              </w:rPr>
            </w:pPr>
          </w:p>
          <w:p w14:paraId="2E904BFF">
            <w:pPr>
              <w:spacing w:line="400" w:lineRule="exact"/>
              <w:jc w:val="center"/>
              <w:rPr>
                <w:b/>
                <w:sz w:val="24"/>
              </w:rPr>
            </w:pPr>
          </w:p>
          <w:p w14:paraId="1AE14213">
            <w:pPr>
              <w:spacing w:line="400" w:lineRule="exact"/>
              <w:jc w:val="center"/>
              <w:rPr>
                <w:b/>
                <w:sz w:val="24"/>
              </w:rPr>
            </w:pPr>
          </w:p>
          <w:p w14:paraId="67FFE7CD">
            <w:pPr>
              <w:spacing w:line="400" w:lineRule="exact"/>
              <w:jc w:val="center"/>
              <w:rPr>
                <w:b/>
                <w:sz w:val="24"/>
              </w:rPr>
            </w:pPr>
          </w:p>
          <w:p w14:paraId="62DED767">
            <w:pPr>
              <w:spacing w:line="400" w:lineRule="exact"/>
              <w:jc w:val="center"/>
              <w:rPr>
                <w:b/>
                <w:sz w:val="24"/>
              </w:rPr>
            </w:pPr>
          </w:p>
          <w:p w14:paraId="36A880DB">
            <w:pPr>
              <w:spacing w:line="400" w:lineRule="exact"/>
              <w:jc w:val="center"/>
              <w:rPr>
                <w:b/>
                <w:sz w:val="24"/>
              </w:rPr>
            </w:pPr>
          </w:p>
          <w:p w14:paraId="668E7D95">
            <w:pPr>
              <w:spacing w:line="400" w:lineRule="exact"/>
              <w:jc w:val="center"/>
              <w:rPr>
                <w:b/>
                <w:sz w:val="24"/>
              </w:rPr>
            </w:pPr>
          </w:p>
          <w:p w14:paraId="0374A416">
            <w:pPr>
              <w:spacing w:line="400" w:lineRule="exact"/>
              <w:jc w:val="center"/>
              <w:rPr>
                <w:b/>
                <w:sz w:val="24"/>
              </w:rPr>
            </w:pPr>
          </w:p>
          <w:p w14:paraId="2CC78323">
            <w:pPr>
              <w:spacing w:line="400" w:lineRule="exact"/>
              <w:jc w:val="center"/>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47519">
            <w:pPr>
              <w:spacing w:line="400" w:lineRule="exact"/>
              <w:rPr>
                <w:sz w:val="24"/>
              </w:rPr>
            </w:pPr>
          </w:p>
          <w:p w14:paraId="4812184F">
            <w:pPr>
              <w:spacing w:line="400" w:lineRule="exact"/>
              <w:rPr>
                <w:sz w:val="24"/>
              </w:rPr>
            </w:pPr>
          </w:p>
          <w:p w14:paraId="18A9D62F">
            <w:pPr>
              <w:spacing w:line="400" w:lineRule="exact"/>
              <w:rPr>
                <w:sz w:val="24"/>
              </w:rPr>
            </w:pPr>
          </w:p>
          <w:p w14:paraId="65EC196F">
            <w:pPr>
              <w:spacing w:line="400" w:lineRule="exact"/>
              <w:rPr>
                <w:sz w:val="24"/>
              </w:rPr>
            </w:pPr>
          </w:p>
          <w:p w14:paraId="444AADE1">
            <w:pPr>
              <w:spacing w:line="400" w:lineRule="exact"/>
              <w:rPr>
                <w:sz w:val="24"/>
              </w:rPr>
            </w:pPr>
          </w:p>
          <w:p w14:paraId="25E77C16">
            <w:pPr>
              <w:spacing w:line="400" w:lineRule="exact"/>
              <w:rPr>
                <w:sz w:val="24"/>
              </w:rPr>
            </w:pPr>
          </w:p>
          <w:p w14:paraId="4C2C21DC">
            <w:pPr>
              <w:spacing w:line="400" w:lineRule="exact"/>
              <w:rPr>
                <w:sz w:val="24"/>
              </w:rPr>
            </w:pPr>
          </w:p>
          <w:p w14:paraId="70C14FFC">
            <w:pPr>
              <w:spacing w:line="400" w:lineRule="exact"/>
              <w:rPr>
                <w:sz w:val="24"/>
              </w:rPr>
            </w:pPr>
          </w:p>
          <w:p w14:paraId="6DD103BE">
            <w:pPr>
              <w:spacing w:before="156" w:beforeLines="50" w:line="400" w:lineRule="exact"/>
              <w:jc w:val="center"/>
              <w:rPr>
                <w:sz w:val="24"/>
              </w:rPr>
            </w:pPr>
            <w:r>
              <w:rPr>
                <w:rFonts w:hint="eastAsia"/>
                <w:b/>
                <w:sz w:val="24"/>
              </w:rPr>
              <w:t>课堂小结</w:t>
            </w:r>
          </w:p>
          <w:p w14:paraId="6394B3AA">
            <w:pPr>
              <w:spacing w:line="400" w:lineRule="exact"/>
              <w:rPr>
                <w:sz w:val="24"/>
              </w:rPr>
            </w:pPr>
          </w:p>
          <w:p w14:paraId="5932360A">
            <w:pPr>
              <w:spacing w:line="400" w:lineRule="exact"/>
              <w:rPr>
                <w:sz w:val="24"/>
              </w:rPr>
            </w:pPr>
          </w:p>
          <w:p w14:paraId="2A9239A1">
            <w:pPr>
              <w:spacing w:line="400" w:lineRule="exact"/>
              <w:rPr>
                <w:sz w:val="24"/>
              </w:rPr>
            </w:pPr>
          </w:p>
          <w:p w14:paraId="75BE8427">
            <w:pPr>
              <w:spacing w:line="400" w:lineRule="exact"/>
              <w:rPr>
                <w:sz w:val="24"/>
              </w:rPr>
            </w:pPr>
          </w:p>
          <w:p w14:paraId="4EF6D955">
            <w:pPr>
              <w:spacing w:line="400" w:lineRule="exact"/>
              <w:rPr>
                <w:sz w:val="24"/>
              </w:rPr>
            </w:pPr>
          </w:p>
          <w:p w14:paraId="5896F647">
            <w:pPr>
              <w:spacing w:line="400" w:lineRule="exact"/>
              <w:rPr>
                <w:b/>
                <w:sz w:val="24"/>
              </w:rPr>
            </w:pPr>
          </w:p>
          <w:p w14:paraId="7CDC1673">
            <w:pPr>
              <w:spacing w:line="400" w:lineRule="exact"/>
              <w:ind w:firstLine="241" w:firstLineChars="100"/>
              <w:rPr>
                <w:b/>
                <w:sz w:val="24"/>
              </w:rPr>
            </w:pPr>
            <w:r>
              <w:rPr>
                <w:rFonts w:hint="eastAsia"/>
                <w:b/>
                <w:sz w:val="24"/>
              </w:rPr>
              <w:t>课后作业</w:t>
            </w:r>
          </w:p>
        </w:tc>
        <w:tc>
          <w:tcPr>
            <w:tcW w:w="6764" w:type="dxa"/>
            <w:tcBorders>
              <w:left w:val="single" w:color="auto" w:sz="4" w:space="0"/>
            </w:tcBorders>
          </w:tcPr>
          <w:p w14:paraId="60F67431">
            <w:pPr>
              <w:spacing w:line="400" w:lineRule="exact"/>
              <w:jc w:val="left"/>
              <w:rPr>
                <w:rFonts w:hint="eastAsia"/>
                <w:sz w:val="24"/>
              </w:rPr>
            </w:pPr>
            <w:r>
              <w:rPr>
                <w:rFonts w:hint="default"/>
                <w:sz w:val="24"/>
                <w:lang w:val="en-US" w:eastAsia="zh-CN"/>
              </w:rPr>
              <w:t>（一）课程导入</w:t>
            </w:r>
          </w:p>
          <w:p w14:paraId="567DBD85">
            <w:pPr>
              <w:spacing w:line="400" w:lineRule="exact"/>
              <w:jc w:val="left"/>
              <w:rPr>
                <w:rFonts w:hint="eastAsia"/>
                <w:sz w:val="24"/>
              </w:rPr>
            </w:pPr>
            <w:r>
              <w:rPr>
                <w:rFonts w:hint="default"/>
                <w:sz w:val="24"/>
              </w:rPr>
              <w:t>通过提问引发学生思考：在银行转账业务中，如果在转账过程中出现系统故障，如何保证转出账户和转入账户的数据一致性？如果不能保证一致性，会带来什么后果？​</w:t>
            </w:r>
          </w:p>
          <w:p w14:paraId="44D08614">
            <w:pPr>
              <w:spacing w:line="400" w:lineRule="exact"/>
              <w:jc w:val="left"/>
              <w:rPr>
                <w:rFonts w:hint="eastAsia"/>
                <w:sz w:val="24"/>
              </w:rPr>
            </w:pPr>
            <w:r>
              <w:rPr>
                <w:rFonts w:hint="default"/>
                <w:sz w:val="24"/>
              </w:rPr>
              <w:t>展示一段简单的 Java 代码示例，模拟两个账户之间的转账操作，但未使用事务管理，运行代码并故意制造异常（如转账过程中抛出运行时异常），观察数据不一致的情况，引导学生分析问题产生的原因，从而引出事务管理的概念和重要性。​</w:t>
            </w:r>
          </w:p>
          <w:p w14:paraId="5ABEA019">
            <w:pPr>
              <w:spacing w:line="400" w:lineRule="exact"/>
              <w:jc w:val="left"/>
              <w:rPr>
                <w:rFonts w:hint="default"/>
                <w:sz w:val="24"/>
              </w:rPr>
            </w:pPr>
            <w:r>
              <w:rPr>
                <w:rFonts w:hint="default"/>
                <w:sz w:val="24"/>
                <w:lang w:val="en-US" w:eastAsia="zh-CN"/>
              </w:rPr>
              <w:t>（二）知识讲解</w:t>
            </w:r>
          </w:p>
          <w:p w14:paraId="2A944AFC">
            <w:pPr>
              <w:spacing w:line="400" w:lineRule="exact"/>
              <w:jc w:val="left"/>
              <w:rPr>
                <w:rFonts w:hint="default"/>
                <w:sz w:val="24"/>
              </w:rPr>
            </w:pPr>
            <w:r>
              <w:rPr>
                <w:rFonts w:hint="default"/>
                <w:sz w:val="24"/>
                <w:lang w:val="en-US" w:eastAsia="zh-CN"/>
              </w:rPr>
              <w:t>1. 事务基础概念​</w:t>
            </w:r>
          </w:p>
          <w:p w14:paraId="0A7CB764">
            <w:pPr>
              <w:spacing w:line="400" w:lineRule="exact"/>
              <w:jc w:val="left"/>
              <w:rPr>
                <w:rFonts w:hint="eastAsia"/>
                <w:sz w:val="24"/>
              </w:rPr>
            </w:pPr>
            <w:r>
              <w:rPr>
                <w:rFonts w:hint="default"/>
                <w:sz w:val="24"/>
              </w:rPr>
              <w:t>详细讲解事务的定义，强调事务是一组不可分割的数据库操作单元，要么全部成功执行，要么全部失败回滚。​</w:t>
            </w:r>
          </w:p>
          <w:p w14:paraId="52C5E905">
            <w:pPr>
              <w:spacing w:line="400" w:lineRule="exact"/>
              <w:jc w:val="left"/>
              <w:rPr>
                <w:rFonts w:hint="eastAsia"/>
                <w:sz w:val="24"/>
              </w:rPr>
            </w:pPr>
            <w:r>
              <w:rPr>
                <w:rFonts w:hint="default"/>
                <w:sz w:val="24"/>
              </w:rPr>
              <w:t>深入剖析事务的四大特性（ACID）：​</w:t>
            </w:r>
          </w:p>
          <w:p w14:paraId="3D7E8D4B">
            <w:pPr>
              <w:spacing w:line="400" w:lineRule="exact"/>
              <w:jc w:val="left"/>
              <w:rPr>
                <w:rFonts w:hint="eastAsia"/>
                <w:sz w:val="24"/>
              </w:rPr>
            </w:pPr>
            <w:r>
              <w:rPr>
                <w:rFonts w:hint="default"/>
                <w:sz w:val="24"/>
              </w:rPr>
              <w:t>原子性：通过转账案例说明事务中的所有操作必须作为一个整体执行，不能部分成功部分失败。​</w:t>
            </w:r>
          </w:p>
          <w:p w14:paraId="29BACA71">
            <w:pPr>
              <w:spacing w:line="400" w:lineRule="exact"/>
              <w:jc w:val="left"/>
              <w:rPr>
                <w:rFonts w:hint="eastAsia"/>
                <w:sz w:val="24"/>
              </w:rPr>
            </w:pPr>
            <w:r>
              <w:rPr>
                <w:rFonts w:hint="default"/>
                <w:sz w:val="24"/>
              </w:rPr>
              <w:t>一致性：解释事务执行前后数据应满足业务规则定义的一致性约束，如转账前后账户总金额不变。​</w:t>
            </w:r>
          </w:p>
          <w:p w14:paraId="3F977FBD">
            <w:pPr>
              <w:spacing w:line="400" w:lineRule="exact"/>
              <w:jc w:val="left"/>
              <w:rPr>
                <w:rFonts w:hint="eastAsia"/>
                <w:sz w:val="24"/>
              </w:rPr>
            </w:pPr>
            <w:r>
              <w:rPr>
                <w:rFonts w:hint="default"/>
                <w:sz w:val="24"/>
              </w:rPr>
              <w:t>隔离性：举例说明不同事务之间应相互隔离，避免相互干扰，引出事务隔离级别的概念。​</w:t>
            </w:r>
          </w:p>
          <w:p w14:paraId="5A7F01C7">
            <w:pPr>
              <w:spacing w:line="400" w:lineRule="exact"/>
              <w:jc w:val="left"/>
              <w:rPr>
                <w:rFonts w:hint="eastAsia"/>
                <w:sz w:val="24"/>
              </w:rPr>
            </w:pPr>
            <w:r>
              <w:rPr>
                <w:rFonts w:hint="default"/>
                <w:sz w:val="24"/>
              </w:rPr>
              <w:t>持久性：说明事务一旦提交，其对数据的修改应永久保存在数据库中，即使系统故障也不丢失。​</w:t>
            </w:r>
          </w:p>
          <w:p w14:paraId="0E13A35F">
            <w:pPr>
              <w:spacing w:line="400" w:lineRule="exact"/>
              <w:jc w:val="left"/>
              <w:rPr>
                <w:rFonts w:hint="eastAsia"/>
                <w:sz w:val="24"/>
              </w:rPr>
            </w:pPr>
            <w:r>
              <w:rPr>
                <w:rFonts w:hint="default"/>
                <w:sz w:val="24"/>
              </w:rPr>
              <w:t>结合数据库日志等技术，简要介绍事务实现 ACID 特性的底层原理，帮助学生理解事务管理的内在机制。​</w:t>
            </w:r>
          </w:p>
          <w:p w14:paraId="5D5BFDF0">
            <w:pPr>
              <w:spacing w:line="400" w:lineRule="exact"/>
              <w:jc w:val="left"/>
              <w:rPr>
                <w:rFonts w:hint="default"/>
                <w:sz w:val="24"/>
              </w:rPr>
            </w:pPr>
            <w:r>
              <w:rPr>
                <w:rFonts w:hint="default"/>
                <w:sz w:val="24"/>
                <w:lang w:val="en-US" w:eastAsia="zh-CN"/>
              </w:rPr>
              <w:t>2. Java 事务管理方式</w:t>
            </w:r>
          </w:p>
          <w:p w14:paraId="2E062340">
            <w:pPr>
              <w:spacing w:line="400" w:lineRule="exact"/>
              <w:jc w:val="left"/>
              <w:rPr>
                <w:rFonts w:hint="eastAsia"/>
                <w:sz w:val="24"/>
              </w:rPr>
            </w:pPr>
            <w:r>
              <w:rPr>
                <w:rFonts w:hint="default"/>
                <w:sz w:val="24"/>
              </w:rPr>
              <w:t>JDBC 原生事务管理：展示 JDBC 代码示例，讲解如何通过Connection对象的setAutoCommit(false)、commit()和rollback()方法实现事务管理，分析其优缺点，强调在传统 JDBC 开发中的应用。​</w:t>
            </w:r>
          </w:p>
          <w:p w14:paraId="78DF9B9E">
            <w:pPr>
              <w:spacing w:line="400" w:lineRule="exact"/>
              <w:jc w:val="left"/>
              <w:rPr>
                <w:rFonts w:hint="eastAsia"/>
                <w:sz w:val="24"/>
              </w:rPr>
            </w:pPr>
            <w:r>
              <w:rPr>
                <w:rFonts w:hint="default"/>
                <w:sz w:val="24"/>
              </w:rPr>
              <w:t>Spring 声明式事务管理：重点讲解 Spring 框架中声明式事务管理的优势和实现方式，包括使用 XML 配置文件配置事务管理器、事务切面和事务属性，以及使用@Transactional注解进行基于注解的事务配置。通过具体代码示例，演示如何在 Service 层方法上添加事务注解，实现对业务方法的事务控制。​</w:t>
            </w:r>
          </w:p>
          <w:p w14:paraId="3AE50535">
            <w:pPr>
              <w:spacing w:line="400" w:lineRule="exact"/>
              <w:jc w:val="left"/>
              <w:rPr>
                <w:rFonts w:hint="eastAsia"/>
                <w:sz w:val="24"/>
              </w:rPr>
            </w:pPr>
            <w:r>
              <w:rPr>
                <w:rFonts w:hint="default"/>
                <w:sz w:val="24"/>
              </w:rPr>
              <w:t>Spring 编程式事务管理：简单介绍编程式事务管理的概念和使用场景，通过代码示例展示如何使用TransactionTemplate或PlatformTransactionManager手动控制事务，对比其与声明式事务管理的差异。​</w:t>
            </w:r>
          </w:p>
          <w:p w14:paraId="02BFA4FF">
            <w:pPr>
              <w:spacing w:line="400" w:lineRule="exact"/>
              <w:jc w:val="left"/>
              <w:rPr>
                <w:rFonts w:hint="default"/>
                <w:sz w:val="24"/>
              </w:rPr>
            </w:pPr>
            <w:r>
              <w:rPr>
                <w:rFonts w:hint="default"/>
                <w:sz w:val="24"/>
                <w:lang w:val="en-US" w:eastAsia="zh-CN"/>
              </w:rPr>
              <w:t>3. 事务隔离级别与并发问题</w:t>
            </w:r>
          </w:p>
          <w:p w14:paraId="6710222D">
            <w:pPr>
              <w:spacing w:line="400" w:lineRule="exact"/>
              <w:jc w:val="left"/>
              <w:rPr>
                <w:rFonts w:hint="eastAsia"/>
                <w:sz w:val="24"/>
              </w:rPr>
            </w:pPr>
            <w:r>
              <w:rPr>
                <w:rFonts w:hint="default"/>
                <w:sz w:val="24"/>
              </w:rPr>
              <w:t>详细讲解四种事务隔离级别（读未提交、读已提交、可重复读、串行化）的含义和特点，通过表格对比它们在解决脏读、不可重复读、幻读问题上的效果。​</w:t>
            </w:r>
          </w:p>
          <w:p w14:paraId="06D64741">
            <w:pPr>
              <w:spacing w:line="400" w:lineRule="exact"/>
              <w:jc w:val="left"/>
              <w:rPr>
                <w:rFonts w:hint="eastAsia"/>
                <w:sz w:val="24"/>
              </w:rPr>
            </w:pPr>
            <w:r>
              <w:rPr>
                <w:rFonts w:hint="default"/>
                <w:sz w:val="24"/>
              </w:rPr>
              <w:t>结合实际业务场景，如电商订单系统、金融交易系统等，分析不同场景下适合的事务隔离级别选择，引导学生思考如何在数据一致性和并发性能之间进行权衡。​</w:t>
            </w:r>
          </w:p>
          <w:p w14:paraId="6294C450">
            <w:pPr>
              <w:spacing w:line="400" w:lineRule="exact"/>
              <w:jc w:val="left"/>
              <w:rPr>
                <w:rFonts w:hint="eastAsia"/>
                <w:sz w:val="24"/>
              </w:rPr>
            </w:pPr>
            <w:r>
              <w:rPr>
                <w:rFonts w:hint="default"/>
                <w:sz w:val="24"/>
              </w:rPr>
              <w:t>通过模拟并发场景的代码示例，演示不同隔离级别下可能出现的并发问题，加深学生对事务隔离级别的理解和应用能力。​</w:t>
            </w:r>
          </w:p>
          <w:p w14:paraId="079D445F">
            <w:pPr>
              <w:spacing w:line="400" w:lineRule="exact"/>
              <w:jc w:val="left"/>
              <w:rPr>
                <w:rFonts w:hint="default"/>
                <w:sz w:val="24"/>
              </w:rPr>
            </w:pPr>
            <w:r>
              <w:rPr>
                <w:rFonts w:hint="default"/>
                <w:sz w:val="24"/>
                <w:lang w:val="en-US" w:eastAsia="zh-CN"/>
              </w:rPr>
              <w:t>（三）课堂实践</w:t>
            </w:r>
          </w:p>
          <w:p w14:paraId="7D96651D">
            <w:pPr>
              <w:spacing w:line="400" w:lineRule="exact"/>
              <w:jc w:val="left"/>
              <w:rPr>
                <w:rFonts w:hint="eastAsia"/>
                <w:sz w:val="24"/>
              </w:rPr>
            </w:pPr>
            <w:r>
              <w:rPr>
                <w:rFonts w:hint="default"/>
                <w:sz w:val="24"/>
              </w:rPr>
              <w:t>布置实践任务：学生分组，在一个简单的 Spring Boot 项目中，实现一个图书借阅管理系统的部分功能，包括图书借阅和归还操作。要求使用 Spring 声明式事务管理，确保借阅和归还操作的事务性，同时根据业务需求合理设置事务隔离级别。​</w:t>
            </w:r>
          </w:p>
          <w:p w14:paraId="27F28F0B">
            <w:pPr>
              <w:spacing w:line="400" w:lineRule="exact"/>
              <w:jc w:val="left"/>
              <w:rPr>
                <w:rFonts w:hint="eastAsia"/>
                <w:sz w:val="24"/>
              </w:rPr>
            </w:pPr>
            <w:r>
              <w:rPr>
                <w:rFonts w:hint="default"/>
                <w:sz w:val="24"/>
              </w:rPr>
              <w:t>教师巡视指导，解答学生在实践过程中遇到的问题，如事务配置错误、事务未生效、并发问题处理不当等，引导学生分析问题原因并找到解决方案。​</w:t>
            </w:r>
          </w:p>
          <w:p w14:paraId="3D62F460">
            <w:pPr>
              <w:spacing w:line="400" w:lineRule="exact"/>
              <w:jc w:val="left"/>
              <w:rPr>
                <w:rFonts w:hint="eastAsia"/>
                <w:sz w:val="24"/>
              </w:rPr>
            </w:pPr>
            <w:r>
              <w:rPr>
                <w:rFonts w:hint="default"/>
                <w:sz w:val="24"/>
              </w:rPr>
              <w:t>选取部分小组展示他们的项目代码和运行结果，并进行简要讲解，其他小组进行评价和补充，教师进行总结和点评，强调实践过程中的重点和易错点，如事务注解的作用范围、事务传播行为的选择等。​</w:t>
            </w:r>
          </w:p>
          <w:p w14:paraId="5C306FA2">
            <w:pPr>
              <w:spacing w:line="400" w:lineRule="exact"/>
              <w:jc w:val="left"/>
              <w:rPr>
                <w:rFonts w:hint="default"/>
                <w:sz w:val="24"/>
              </w:rPr>
            </w:pPr>
            <w:r>
              <w:rPr>
                <w:rFonts w:hint="default"/>
                <w:sz w:val="24"/>
                <w:lang w:val="en-US" w:eastAsia="zh-CN"/>
              </w:rPr>
              <w:t>（四）课堂总结</w:t>
            </w:r>
          </w:p>
          <w:p w14:paraId="434FA46A">
            <w:pPr>
              <w:spacing w:line="400" w:lineRule="exact"/>
              <w:jc w:val="left"/>
              <w:rPr>
                <w:rFonts w:hint="eastAsia"/>
                <w:sz w:val="24"/>
              </w:rPr>
            </w:pPr>
            <w:r>
              <w:rPr>
                <w:rFonts w:hint="default"/>
                <w:sz w:val="24"/>
              </w:rPr>
              <w:t>与学生一起回顾本节课所学的主要内容，包括事务的基本概念、Java 事务管理的方式、事务隔离级别等，通过提问的方式检验学生的掌握情况。​</w:t>
            </w:r>
          </w:p>
          <w:p w14:paraId="08DE2E7E">
            <w:pPr>
              <w:spacing w:line="400" w:lineRule="exact"/>
              <w:jc w:val="left"/>
              <w:rPr>
                <w:rFonts w:hint="eastAsia"/>
                <w:sz w:val="24"/>
              </w:rPr>
            </w:pPr>
            <w:r>
              <w:rPr>
                <w:rFonts w:hint="default"/>
                <w:sz w:val="24"/>
              </w:rPr>
              <w:t>强调事务管理在保障数据一致性和完整性方面的重要性，鼓励学生在课后进一步学习和探索事务管理的高级特性和分布式事务解决方案。​</w:t>
            </w:r>
          </w:p>
          <w:p w14:paraId="54DAB01F">
            <w:pPr>
              <w:spacing w:line="400" w:lineRule="exact"/>
              <w:jc w:val="left"/>
              <w:rPr>
                <w:rFonts w:hint="default"/>
                <w:sz w:val="24"/>
              </w:rPr>
            </w:pPr>
            <w:r>
              <w:rPr>
                <w:rFonts w:hint="default"/>
                <w:sz w:val="24"/>
                <w:lang w:val="en-US" w:eastAsia="zh-CN"/>
              </w:rPr>
              <w:t>（五）作业布置</w:t>
            </w:r>
          </w:p>
          <w:p w14:paraId="3DD1588F">
            <w:pPr>
              <w:spacing w:line="400" w:lineRule="exact"/>
              <w:jc w:val="left"/>
              <w:rPr>
                <w:rFonts w:hint="eastAsia"/>
                <w:sz w:val="24"/>
              </w:rPr>
            </w:pPr>
            <w:r>
              <w:rPr>
                <w:rFonts w:hint="default"/>
                <w:sz w:val="24"/>
              </w:rPr>
              <w:t>完成课后练习题：在已完成的图书借阅管理系统项目基础上，增加用户注册和登录功能，并使用编程式事务管理对用户注册操作进行事务控制，同时处理可能出现的事务异常。​</w:t>
            </w:r>
          </w:p>
          <w:p w14:paraId="28A0227C">
            <w:pPr>
              <w:spacing w:line="400" w:lineRule="exact"/>
              <w:jc w:val="left"/>
              <w:rPr>
                <w:rFonts w:hint="eastAsia"/>
                <w:sz w:val="24"/>
              </w:rPr>
            </w:pPr>
            <w:r>
              <w:rPr>
                <w:rFonts w:hint="default"/>
                <w:sz w:val="24"/>
              </w:rPr>
              <w:t>查阅资料，了解分布式事务的常见解决方案（如两阶段提交、Seata 等），选择一种方案进行深入学习，撰写一篇关于该分布式事务解决方案原理和应用的技术报告，并尝试在一个简单的分布式项目示例中使用该方案实现事务管理。</w:t>
            </w:r>
          </w:p>
          <w:p w14:paraId="4604B36C">
            <w:pPr>
              <w:spacing w:line="400" w:lineRule="exact"/>
              <w:jc w:val="left"/>
              <w:rPr>
                <w:rFonts w:asciiTheme="minorEastAsia" w:hAnsiTheme="minorEastAsia" w:eastAsiaTheme="minorEastAsia"/>
                <w:sz w:val="24"/>
              </w:rPr>
            </w:pPr>
          </w:p>
        </w:tc>
        <w:tc>
          <w:tcPr>
            <w:tcW w:w="1467"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6764" w:type="dxa"/>
            <w:tcBorders>
              <w:top w:val="nil"/>
              <w:left w:val="single" w:color="auto" w:sz="4" w:space="0"/>
            </w:tcBorders>
          </w:tcPr>
          <w:p w14:paraId="32D2BB12">
            <w:pPr>
              <w:pStyle w:val="16"/>
              <w:spacing w:line="400" w:lineRule="exact"/>
              <w:ind w:left="720" w:firstLine="0" w:firstLineChars="0"/>
              <w:jc w:val="left"/>
              <w:rPr>
                <w:sz w:val="24"/>
              </w:rPr>
            </w:pPr>
            <w:bookmarkStart w:id="0" w:name="_GoBack"/>
            <w:bookmarkEnd w:id="0"/>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事务管理</w:t>
                                  </w:r>
                                  <w:r>
                                    <w:rPr>
                                      <w:rFonts w:hint="eastAsia" w:ascii="宋体" w:hAnsi="宋体" w:cs="宋体"/>
                                      <w:b/>
                                      <w:bCs/>
                                      <w:sz w:val="30"/>
                                      <w:szCs w:val="30"/>
                                    </w:rPr>
                                    <w:t>入门</w:t>
                                  </w:r>
                                </w:p>
                                <w:p w14:paraId="0725B58A">
                                  <w:pPr>
                                    <w:numPr>
                                      <w:ilvl w:val="0"/>
                                      <w:numId w:val="2"/>
                                    </w:numPr>
                                    <w:ind w:firstLine="240" w:firstLineChars="100"/>
                                    <w:rPr>
                                      <w:rFonts w:ascii="宋体" w:hAnsi="宋体" w:cs="宋体"/>
                                      <w:sz w:val="24"/>
                                    </w:rPr>
                                  </w:pPr>
                                  <w:r>
                                    <w:rPr>
                                      <w:rFonts w:hint="default"/>
                                      <w:sz w:val="24"/>
                                    </w:rPr>
                                    <w:t>事务管理</w:t>
                                  </w:r>
                                  <w:r>
                                    <w:rPr>
                                      <w:rFonts w:hint="eastAsia" w:ascii="宋体" w:hAnsi="宋体" w:cs="宋体"/>
                                      <w:sz w:val="24"/>
                                    </w:rPr>
                                    <w:t>概述</w:t>
                                  </w:r>
                                </w:p>
                                <w:p w14:paraId="4CB21891">
                                  <w:pPr>
                                    <w:ind w:firstLine="720" w:firstLineChars="300"/>
                                    <w:rPr>
                                      <w:rFonts w:ascii="宋体" w:hAnsi="宋体" w:cs="宋体"/>
                                      <w:sz w:val="24"/>
                                    </w:rPr>
                                  </w:pPr>
                                  <w:r>
                                    <w:rPr>
                                      <w:rFonts w:hint="default"/>
                                      <w:sz w:val="24"/>
                                    </w:rPr>
                                    <w:t>事务管理</w:t>
                                  </w:r>
                                  <w:r>
                                    <w:rPr>
                                      <w:rFonts w:hint="eastAsia" w:ascii="宋体" w:hAnsi="宋体" w:cs="宋体"/>
                                      <w:sz w:val="24"/>
                                    </w:rPr>
                                    <w:t>的组成部分</w:t>
                                  </w:r>
                                </w:p>
                                <w:p w14:paraId="67655DAC">
                                  <w:pPr>
                                    <w:ind w:firstLine="720" w:firstLineChars="300"/>
                                    <w:rPr>
                                      <w:rFonts w:ascii="宋体" w:hAnsi="宋体" w:cs="宋体"/>
                                      <w:sz w:val="24"/>
                                    </w:rPr>
                                  </w:pPr>
                                  <w:r>
                                    <w:rPr>
                                      <w:rFonts w:hint="default"/>
                                      <w:sz w:val="24"/>
                                    </w:rPr>
                                    <w:t>事务管理</w:t>
                                  </w:r>
                                  <w:r>
                                    <w:rPr>
                                      <w:rFonts w:hint="eastAsia" w:ascii="宋体" w:hAnsi="宋体" w:cs="宋体"/>
                                      <w:sz w:val="24"/>
                                    </w:rPr>
                                    <w:t>的类型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default"/>
                                      <w:sz w:val="24"/>
                                    </w:rPr>
                                    <w:t>事务管理</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default"/>
                                      <w:sz w:val="24"/>
                                    </w:rPr>
                                    <w:t>事务管理</w:t>
                                  </w:r>
                                  <w:r>
                                    <w:rPr>
                                      <w:rFonts w:hint="eastAsia" w:ascii="宋体" w:hAnsi="宋体" w:cs="宋体"/>
                                      <w:sz w:val="24"/>
                                    </w:rPr>
                                    <w:t>执行</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事务管理</w:t>
                            </w:r>
                            <w:r>
                              <w:rPr>
                                <w:rFonts w:hint="eastAsia" w:ascii="宋体" w:hAnsi="宋体" w:cs="宋体"/>
                                <w:b/>
                                <w:bCs/>
                                <w:sz w:val="30"/>
                                <w:szCs w:val="30"/>
                              </w:rPr>
                              <w:t>入门</w:t>
                            </w:r>
                          </w:p>
                          <w:p w14:paraId="0725B58A">
                            <w:pPr>
                              <w:numPr>
                                <w:ilvl w:val="0"/>
                                <w:numId w:val="2"/>
                              </w:numPr>
                              <w:ind w:firstLine="240" w:firstLineChars="100"/>
                              <w:rPr>
                                <w:rFonts w:ascii="宋体" w:hAnsi="宋体" w:cs="宋体"/>
                                <w:sz w:val="24"/>
                              </w:rPr>
                            </w:pPr>
                            <w:r>
                              <w:rPr>
                                <w:rFonts w:hint="default"/>
                                <w:sz w:val="24"/>
                              </w:rPr>
                              <w:t>事务管理</w:t>
                            </w:r>
                            <w:r>
                              <w:rPr>
                                <w:rFonts w:hint="eastAsia" w:ascii="宋体" w:hAnsi="宋体" w:cs="宋体"/>
                                <w:sz w:val="24"/>
                              </w:rPr>
                              <w:t>概述</w:t>
                            </w:r>
                          </w:p>
                          <w:p w14:paraId="4CB21891">
                            <w:pPr>
                              <w:ind w:firstLine="720" w:firstLineChars="300"/>
                              <w:rPr>
                                <w:rFonts w:ascii="宋体" w:hAnsi="宋体" w:cs="宋体"/>
                                <w:sz w:val="24"/>
                              </w:rPr>
                            </w:pPr>
                            <w:r>
                              <w:rPr>
                                <w:rFonts w:hint="default"/>
                                <w:sz w:val="24"/>
                              </w:rPr>
                              <w:t>事务管理</w:t>
                            </w:r>
                            <w:r>
                              <w:rPr>
                                <w:rFonts w:hint="eastAsia" w:ascii="宋体" w:hAnsi="宋体" w:cs="宋体"/>
                                <w:sz w:val="24"/>
                              </w:rPr>
                              <w:t>的组成部分</w:t>
                            </w:r>
                          </w:p>
                          <w:p w14:paraId="67655DAC">
                            <w:pPr>
                              <w:ind w:firstLine="720" w:firstLineChars="300"/>
                              <w:rPr>
                                <w:rFonts w:ascii="宋体" w:hAnsi="宋体" w:cs="宋体"/>
                                <w:sz w:val="24"/>
                              </w:rPr>
                            </w:pPr>
                            <w:r>
                              <w:rPr>
                                <w:rFonts w:hint="default"/>
                                <w:sz w:val="24"/>
                              </w:rPr>
                              <w:t>事务管理</w:t>
                            </w:r>
                            <w:r>
                              <w:rPr>
                                <w:rFonts w:hint="eastAsia" w:ascii="宋体" w:hAnsi="宋体" w:cs="宋体"/>
                                <w:sz w:val="24"/>
                              </w:rPr>
                              <w:t>的类型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default"/>
                                <w:sz w:val="24"/>
                              </w:rPr>
                              <w:t>事务管理</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default"/>
                                <w:sz w:val="24"/>
                              </w:rPr>
                              <w:t>事务管理</w:t>
                            </w:r>
                            <w:r>
                              <w:rPr>
                                <w:rFonts w:hint="eastAsia" w:ascii="宋体" w:hAnsi="宋体" w:cs="宋体"/>
                                <w:sz w:val="24"/>
                              </w:rPr>
                              <w:t>执行</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p>
          <w:p w14:paraId="595F8006">
            <w:pPr>
              <w:pStyle w:val="16"/>
              <w:spacing w:line="400" w:lineRule="exact"/>
              <w:ind w:left="720" w:firstLine="0" w:firstLineChars="0"/>
              <w:jc w:val="left"/>
              <w:rPr>
                <w:sz w:val="24"/>
              </w:rPr>
            </w:pPr>
          </w:p>
          <w:p w14:paraId="3FBF41E4">
            <w:pPr>
              <w:pStyle w:val="16"/>
              <w:spacing w:line="400" w:lineRule="exact"/>
              <w:ind w:left="720" w:firstLine="0" w:firstLineChars="0"/>
              <w:jc w:val="left"/>
              <w:rPr>
                <w:sz w:val="24"/>
              </w:rPr>
            </w:pPr>
          </w:p>
          <w:p w14:paraId="274FAE42">
            <w:pPr>
              <w:pStyle w:val="16"/>
              <w:spacing w:line="400" w:lineRule="exact"/>
              <w:ind w:left="720" w:firstLine="0" w:firstLineChars="0"/>
              <w:jc w:val="left"/>
              <w:rPr>
                <w:sz w:val="24"/>
              </w:rPr>
            </w:pPr>
          </w:p>
          <w:p w14:paraId="36DCD911">
            <w:pPr>
              <w:pStyle w:val="16"/>
              <w:spacing w:line="400" w:lineRule="exact"/>
              <w:ind w:left="720" w:firstLine="0" w:firstLineChars="0"/>
              <w:jc w:val="left"/>
              <w:rPr>
                <w:sz w:val="24"/>
              </w:rPr>
            </w:pPr>
          </w:p>
          <w:p w14:paraId="518038C4">
            <w:pPr>
              <w:pStyle w:val="16"/>
              <w:spacing w:line="400" w:lineRule="exact"/>
              <w:ind w:left="720" w:firstLine="0" w:firstLineChars="0"/>
              <w:jc w:val="left"/>
              <w:rPr>
                <w:sz w:val="24"/>
              </w:rPr>
            </w:pPr>
          </w:p>
          <w:p w14:paraId="3F0E9E01">
            <w:pPr>
              <w:pStyle w:val="16"/>
              <w:spacing w:line="400" w:lineRule="exact"/>
              <w:ind w:firstLine="0" w:firstLineChars="0"/>
              <w:jc w:val="left"/>
              <w:rPr>
                <w:sz w:val="24"/>
              </w:rPr>
            </w:pPr>
          </w:p>
        </w:tc>
        <w:tc>
          <w:tcPr>
            <w:tcW w:w="1467"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6764"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在大学里有很多与计算机相关的课程，并且在以后得救也与生活中我们也离不开计算机。因此，需要掌握Spring的概念、相关功能，在课堂上让学生多多参与实际操作过程，实践能够加深学生对知识点的理解。</w:t>
            </w:r>
          </w:p>
          <w:p w14:paraId="3DF18701">
            <w:pPr>
              <w:spacing w:line="400" w:lineRule="exact"/>
              <w:jc w:val="left"/>
              <w:rPr>
                <w:b/>
                <w:sz w:val="24"/>
              </w:rPr>
            </w:pPr>
          </w:p>
        </w:tc>
        <w:tc>
          <w:tcPr>
            <w:tcW w:w="1467"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4DA0"/>
    <w:rsid w:val="00716485"/>
    <w:rsid w:val="00731CC0"/>
    <w:rsid w:val="007412E7"/>
    <w:rsid w:val="00751D16"/>
    <w:rsid w:val="00752478"/>
    <w:rsid w:val="007537AA"/>
    <w:rsid w:val="00764898"/>
    <w:rsid w:val="007711E3"/>
    <w:rsid w:val="00776D97"/>
    <w:rsid w:val="00782F84"/>
    <w:rsid w:val="0078439A"/>
    <w:rsid w:val="0078489C"/>
    <w:rsid w:val="00784F17"/>
    <w:rsid w:val="0079690F"/>
    <w:rsid w:val="007A628A"/>
    <w:rsid w:val="007B64CE"/>
    <w:rsid w:val="007D114B"/>
    <w:rsid w:val="007D73B6"/>
    <w:rsid w:val="007E0349"/>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87CCE"/>
    <w:rsid w:val="00890161"/>
    <w:rsid w:val="0089203E"/>
    <w:rsid w:val="008976F7"/>
    <w:rsid w:val="008A2A99"/>
    <w:rsid w:val="008A514D"/>
    <w:rsid w:val="008B5D0B"/>
    <w:rsid w:val="008D705C"/>
    <w:rsid w:val="008E1622"/>
    <w:rsid w:val="008E7D6F"/>
    <w:rsid w:val="008E7E2F"/>
    <w:rsid w:val="008F2E82"/>
    <w:rsid w:val="009040AA"/>
    <w:rsid w:val="0095396E"/>
    <w:rsid w:val="00962CE5"/>
    <w:rsid w:val="00992262"/>
    <w:rsid w:val="009A08B4"/>
    <w:rsid w:val="009A093E"/>
    <w:rsid w:val="009C3C66"/>
    <w:rsid w:val="009F5FFD"/>
    <w:rsid w:val="00A033ED"/>
    <w:rsid w:val="00A10EC7"/>
    <w:rsid w:val="00A21187"/>
    <w:rsid w:val="00A21291"/>
    <w:rsid w:val="00A30509"/>
    <w:rsid w:val="00A447C6"/>
    <w:rsid w:val="00A46D26"/>
    <w:rsid w:val="00A52344"/>
    <w:rsid w:val="00A603E1"/>
    <w:rsid w:val="00A61FF8"/>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6C25"/>
    <w:rsid w:val="00CD5654"/>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44C8"/>
    <w:rsid w:val="00E174B3"/>
    <w:rsid w:val="00E22B83"/>
    <w:rsid w:val="00E34CAF"/>
    <w:rsid w:val="00E34D54"/>
    <w:rsid w:val="00E47823"/>
    <w:rsid w:val="00E51254"/>
    <w:rsid w:val="00E51968"/>
    <w:rsid w:val="00E51F4E"/>
    <w:rsid w:val="00E54483"/>
    <w:rsid w:val="00E5639F"/>
    <w:rsid w:val="00E679E2"/>
    <w:rsid w:val="00E8141A"/>
    <w:rsid w:val="00E948A9"/>
    <w:rsid w:val="00EB561A"/>
    <w:rsid w:val="00EC0A1F"/>
    <w:rsid w:val="00EC16B4"/>
    <w:rsid w:val="00EC18CD"/>
    <w:rsid w:val="00EC620E"/>
    <w:rsid w:val="00EC7EA5"/>
    <w:rsid w:val="00ED090F"/>
    <w:rsid w:val="00ED0E8E"/>
    <w:rsid w:val="00ED5578"/>
    <w:rsid w:val="00EE24B3"/>
    <w:rsid w:val="00EE3420"/>
    <w:rsid w:val="00EF4011"/>
    <w:rsid w:val="00F032B0"/>
    <w:rsid w:val="00F110B0"/>
    <w:rsid w:val="00F21021"/>
    <w:rsid w:val="00F2462A"/>
    <w:rsid w:val="00F27043"/>
    <w:rsid w:val="00F34BC3"/>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0B52C6D"/>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1408</Words>
  <Characters>1885</Characters>
  <Lines>16</Lines>
  <Paragraphs>4</Paragraphs>
  <TotalTime>5</TotalTime>
  <ScaleCrop>false</ScaleCrop>
  <LinksUpToDate>false</LinksUpToDate>
  <CharactersWithSpaces>1953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2025-07-06T12:09:36Z</dcterms:modified>
  <dc:title>长春职业技术学院课程教案用纸</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