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单元21 关联规则挖掘</w:t>
            </w:r>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3D5F3F12">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4D7632D3">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1. 了解关联规则挖掘的基本概念与起源</w:t>
            </w:r>
          </w:p>
          <w:p w14:paraId="56630C2E">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 掌握Apriori、FP-Growth等核心算法原理及应用场景</w:t>
            </w:r>
          </w:p>
          <w:p w14:paraId="67DBFD30">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 熟悉关联规则挖掘在商业分析、推荐系统等领域的实际应用</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F9278B6">
            <w:pPr>
              <w:rPr>
                <w:rFonts w:ascii="宋体" w:hAnsi="宋体"/>
                <w:b/>
                <w:sz w:val="24"/>
              </w:rPr>
            </w:pPr>
            <w:r>
              <w:rPr>
                <w:rFonts w:hint="eastAsia" w:ascii="宋体" w:hAnsi="宋体"/>
                <w:b/>
                <w:sz w:val="24"/>
              </w:rPr>
              <w:t>［能力目标］：</w:t>
            </w:r>
          </w:p>
          <w:p w14:paraId="1FF674CE">
            <w:pPr>
              <w:numPr>
                <w:ilvl w:val="0"/>
                <w:numId w:val="0"/>
              </w:numPr>
              <w:ind w:firstLine="210" w:firstLine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 能够系统阐述关联规则挖掘的基础理论与发展脉络，分析其在数据挖掘领域的重要地位。</w:t>
            </w:r>
          </w:p>
          <w:p w14:paraId="488BC895">
            <w:pPr>
              <w:numPr>
                <w:ilvl w:val="0"/>
                <w:numId w:val="0"/>
              </w:numPr>
              <w:ind w:firstLine="210" w:firstLine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2. 能够运用Apriori、FP-Growth等算法，独立完成数据集的频繁项集挖掘与强关联规则提取。</w:t>
            </w:r>
          </w:p>
          <w:p w14:paraId="4FFF0046">
            <w:pPr>
              <w:numPr>
                <w:ilvl w:val="0"/>
                <w:numId w:val="0"/>
              </w:numPr>
              <w:ind w:firstLine="210" w:firstLine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3. 能够结合零售、电商、医疗等不同行业案例，分析关联规则挖掘在实际业务场景中的应用策略与价值。</w:t>
            </w:r>
          </w:p>
          <w:p w14:paraId="476CD97C">
            <w:pPr>
              <w:numPr>
                <w:ilvl w:val="0"/>
                <w:numId w:val="0"/>
              </w:numPr>
              <w:ind w:firstLine="210" w:firstLine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4. 能够对比分析不同关联规则挖掘算法的性能特点，根据数据规模和业务需求选择合适的算法与技术方案。</w:t>
            </w:r>
          </w:p>
          <w:p w14:paraId="24450A1D">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sz w:val="21"/>
                <w:szCs w:val="21"/>
                <w:vertAlign w:val="baseline"/>
                <w:lang w:val="en-US" w:eastAsia="zh-CN"/>
              </w:rPr>
              <w:t>5. 能够将关联规则挖掘结果与可视化工具结合，以清晰易懂的方式展示规则分析结论，并为业务决策提供有效建议。</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542C909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关联规则挖掘作为数据挖掘领域的关键技术，已在商业智能、用户行为分析、智能推荐等多场景中发挥重要作用。学习关联规则挖掘不仅能帮助同学们构建从数据洞察到知识发现的思维体系，还能培养学生从海量数据中提炼有价值信息的核心能力。通过对关联规则挖掘算法的深入研究与实践应用，学生能够强化逻辑推理能力与数据敏感度，提升跨领域问题分析与解决能力。未来，希望同学们能够紧跟人工智能与数据科学发展前沿，以创新思维探索关联规则挖掘在新兴场景中的应用潜力，持续提升专业素养，成长为适应数字化时代需求、具备数据驱动决策能力的复合型人才</w:t>
            </w:r>
            <w:r>
              <w:rPr>
                <w:rFonts w:hint="eastAsia" w:cs="宋体"/>
                <w:kern w:val="2"/>
                <w:sz w:val="21"/>
                <w:szCs w:val="21"/>
                <w:vertAlign w:val="baseline"/>
                <w:lang w:val="en-US" w:eastAsia="zh-CN" w:bidi="ar-SA"/>
              </w:rPr>
              <w:t>。</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06A4CA5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关联规则挖掘的基本概念、支持度与置信度等核心度量指标的理解</w:t>
            </w:r>
          </w:p>
          <w:p w14:paraId="196C69F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Apriori、FP-Growth等经典关联规则挖掘算法的原理与实现逻辑</w:t>
            </w:r>
          </w:p>
          <w:p w14:paraId="77E60CB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 关联规则挖掘在零售、电商、医疗等领域的典型应用模式</w:t>
            </w:r>
          </w:p>
          <w:p w14:paraId="5E7D743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 关联规则评估标准及结果解读方法</w:t>
            </w:r>
          </w:p>
          <w:p w14:paraId="12B9F87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14:paraId="4C5F43C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理解复杂数据结构下频繁项集高效挖掘的算法优化策略</w:t>
            </w:r>
          </w:p>
          <w:p w14:paraId="163C6FC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掌握不同规模数据集（稀疏/稠密数据）下关联规则挖掘的技术选型与调优</w:t>
            </w:r>
          </w:p>
          <w:p w14:paraId="37051E4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 分析关联规则挖掘结果的实际业务价值，并设计合理的应用解决方案</w:t>
            </w:r>
          </w:p>
          <w:p w14:paraId="6B8A7F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4. 处理关联规则挖掘中的冗余规则、负关联规则等特殊情况的方法</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D81D6">
                                  <w:pPr>
                                    <w:numPr>
                                      <w:ilvl w:val="0"/>
                                      <w:numId w:val="1"/>
                                    </w:numPr>
                                    <w:spacing w:line="300" w:lineRule="atLeast"/>
                                  </w:pPr>
                                  <w:r>
                                    <w:rPr>
                                      <w:rFonts w:hint="default" w:ascii="宋体" w:hAnsi="宋体" w:eastAsia="宋体" w:cs="宋体"/>
                                      <w:sz w:val="21"/>
                                      <w:szCs w:val="21"/>
                                      <w:vertAlign w:val="baseline"/>
                                      <w:lang w:val="en-US" w:eastAsia="zh-CN"/>
                                    </w:rPr>
                                    <w:t>Apriori、FP-Growth</w:t>
                                  </w:r>
                                  <w:r>
                                    <w:rPr>
                                      <w:rFonts w:hint="eastAsia" w:ascii="宋体" w:hAnsi="宋体" w:eastAsia="宋体" w:cs="宋体"/>
                                      <w:sz w:val="21"/>
                                      <w:szCs w:val="21"/>
                                      <w:vertAlign w:val="baseline"/>
                                      <w:lang w:val="en-US" w:eastAsia="zh-CN"/>
                                    </w:rPr>
                                    <w:t>发展背景</w:t>
                                  </w:r>
                                </w:p>
                                <w:p w14:paraId="3B0B2867">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19AD81D6">
                            <w:pPr>
                              <w:numPr>
                                <w:ilvl w:val="0"/>
                                <w:numId w:val="1"/>
                              </w:numPr>
                              <w:spacing w:line="300" w:lineRule="atLeast"/>
                            </w:pPr>
                            <w:r>
                              <w:rPr>
                                <w:rFonts w:hint="default" w:ascii="宋体" w:hAnsi="宋体" w:eastAsia="宋体" w:cs="宋体"/>
                                <w:sz w:val="21"/>
                                <w:szCs w:val="21"/>
                                <w:vertAlign w:val="baseline"/>
                                <w:lang w:val="en-US" w:eastAsia="zh-CN"/>
                              </w:rPr>
                              <w:t>Apriori、FP-Growth</w:t>
                            </w:r>
                            <w:r>
                              <w:rPr>
                                <w:rFonts w:hint="eastAsia" w:ascii="宋体" w:hAnsi="宋体" w:eastAsia="宋体" w:cs="宋体"/>
                                <w:sz w:val="21"/>
                                <w:szCs w:val="21"/>
                                <w:vertAlign w:val="baseline"/>
                                <w:lang w:val="en-US" w:eastAsia="zh-CN"/>
                              </w:rPr>
                              <w:t>发展背景</w:t>
                            </w:r>
                          </w:p>
                          <w:p w14:paraId="3B0B2867">
                            <w:pPr>
                              <w:rPr>
                                <w:rFonts w:hint="default"/>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159385</wp:posOffset>
                      </wp:positionV>
                      <wp:extent cx="609600" cy="1111250"/>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1111250"/>
                              </a:xfrm>
                              <a:prstGeom prst="roundRect">
                                <a:avLst>
                                  <a:gd name="adj" fmla="val 33334"/>
                                </a:avLst>
                              </a:prstGeom>
                              <a:noFill/>
                              <a:ln w="6350">
                                <a:noFill/>
                                <a:miter lim="800000"/>
                              </a:ln>
                            </wps:spPr>
                            <wps:txbx>
                              <w:txbxContent>
                                <w:p w14:paraId="11508247">
                                  <w:pPr>
                                    <w:jc w:val="center"/>
                                    <w:rPr>
                                      <w:rFonts w:hint="default" w:eastAsia="宋体"/>
                                      <w:lang w:val="en-US" w:eastAsia="zh-CN"/>
                                    </w:rPr>
                                  </w:pPr>
                                  <w:r>
                                    <w:rPr>
                                      <w:rFonts w:hint="default" w:ascii="宋体" w:hAnsi="宋体" w:eastAsia="宋体" w:cs="宋体"/>
                                      <w:sz w:val="21"/>
                                      <w:szCs w:val="21"/>
                                      <w:vertAlign w:val="baseline"/>
                                      <w:lang w:val="en-US" w:eastAsia="zh-CN"/>
                                    </w:rPr>
                                    <w:t>Apriori、FP-Growth</w:t>
                                  </w:r>
                                  <w:r>
                                    <w:rPr>
                                      <w:rFonts w:hint="eastAsia"/>
                                      <w:lang w:val="en-US" w:eastAsia="zh-CN"/>
                                    </w:rPr>
                                    <w:t>的核心</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12.55pt;height:87.5pt;width:48pt;z-index:251673600;mso-width-relative:page;mso-height-relative:page;" filled="f" stroked="f" coordsize="21600,21600" arcsize="0.333333333333333" o:gfxdata="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LvzA9NgAAAAIAQAADwAAAAAAAAABACAAAAAiAAAAZHJzL2Rvd25yZXYueG1sUEsBAhQAFAAAAAgA&#10;h07iQKcug8QlAgAAVgQAAA4AAAAAAAAAAQAgAAAAJwEAAGRycy9lMm9Eb2MueG1sUEsFBgAAAAAG&#10;AAYAWQEAAL4FAAAAAA==&#10;">
                      <v:fill on="f" focussize="0,0"/>
                      <v:stroke on="f" weight="0.5pt" miterlimit="8" joinstyle="miter"/>
                      <v:imagedata o:title=""/>
                      <o:lock v:ext="edit" aspectratio="f"/>
                      <v:textbox inset="0mm,0mm,0mm,0mm">
                        <w:txbxContent>
                          <w:p w14:paraId="11508247">
                            <w:pPr>
                              <w:jc w:val="center"/>
                              <w:rPr>
                                <w:rFonts w:hint="default" w:eastAsia="宋体"/>
                                <w:lang w:val="en-US" w:eastAsia="zh-CN"/>
                              </w:rPr>
                            </w:pPr>
                            <w:r>
                              <w:rPr>
                                <w:rFonts w:hint="default" w:ascii="宋体" w:hAnsi="宋体" w:eastAsia="宋体" w:cs="宋体"/>
                                <w:sz w:val="21"/>
                                <w:szCs w:val="21"/>
                                <w:vertAlign w:val="baseline"/>
                                <w:lang w:val="en-US" w:eastAsia="zh-CN"/>
                              </w:rPr>
                              <w:t>Apriori、FP-Growth</w:t>
                            </w:r>
                            <w:r>
                              <w:rPr>
                                <w:rFonts w:hint="eastAsia"/>
                                <w:lang w:val="en-US" w:eastAsia="zh-CN"/>
                              </w:rPr>
                              <w:t>的核心</w:t>
                            </w:r>
                          </w:p>
                        </w:txbxContent>
                      </v:textbox>
                    </v:roundrect>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6CEC98">
                                  <w:pPr>
                                    <w:numPr>
                                      <w:ilvl w:val="0"/>
                                      <w:numId w:val="1"/>
                                    </w:numPr>
                                    <w:ind w:left="0" w:leftChars="0" w:firstLine="0" w:firstLineChars="0"/>
                                    <w:rPr>
                                      <w:rFonts w:hint="default"/>
                                      <w:lang w:val="en-US" w:eastAsia="zh-CN"/>
                                    </w:rPr>
                                  </w:pPr>
                                  <w:r>
                                    <w:rPr>
                                      <w:rFonts w:hint="default" w:ascii="宋体" w:hAnsi="宋体" w:eastAsia="宋体" w:cs="宋体"/>
                                      <w:sz w:val="21"/>
                                      <w:szCs w:val="21"/>
                                      <w:vertAlign w:val="baseline"/>
                                      <w:lang w:val="en-US" w:eastAsia="zh-CN"/>
                                    </w:rPr>
                                    <w:t>Apriori、FP-Growth</w:t>
                                  </w:r>
                                  <w:r>
                                    <w:rPr>
                                      <w:rFonts w:hint="eastAsia" w:ascii="宋体" w:hAnsi="宋体" w:eastAsia="宋体" w:cs="宋体"/>
                                      <w:sz w:val="21"/>
                                      <w:szCs w:val="21"/>
                                      <w:vertAlign w:val="baseline"/>
                                      <w:lang w:val="en-US" w:eastAsia="zh-CN"/>
                                    </w:rPr>
                                    <w:t>的核心优势</w:t>
                                  </w:r>
                                </w:p>
                                <w:p w14:paraId="2087F354">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756CEC98">
                            <w:pPr>
                              <w:numPr>
                                <w:ilvl w:val="0"/>
                                <w:numId w:val="1"/>
                              </w:numPr>
                              <w:ind w:left="0" w:leftChars="0" w:firstLine="0" w:firstLineChars="0"/>
                              <w:rPr>
                                <w:rFonts w:hint="default"/>
                                <w:lang w:val="en-US" w:eastAsia="zh-CN"/>
                              </w:rPr>
                            </w:pPr>
                            <w:r>
                              <w:rPr>
                                <w:rFonts w:hint="default" w:ascii="宋体" w:hAnsi="宋体" w:eastAsia="宋体" w:cs="宋体"/>
                                <w:sz w:val="21"/>
                                <w:szCs w:val="21"/>
                                <w:vertAlign w:val="baseline"/>
                                <w:lang w:val="en-US" w:eastAsia="zh-CN"/>
                              </w:rPr>
                              <w:t>Apriori、FP-Growth</w:t>
                            </w:r>
                            <w:r>
                              <w:rPr>
                                <w:rFonts w:hint="eastAsia" w:ascii="宋体" w:hAnsi="宋体" w:eastAsia="宋体" w:cs="宋体"/>
                                <w:sz w:val="21"/>
                                <w:szCs w:val="21"/>
                                <w:vertAlign w:val="baseline"/>
                                <w:lang w:val="en-US" w:eastAsia="zh-CN"/>
                              </w:rPr>
                              <w:t>的核心优势</w:t>
                            </w:r>
                          </w:p>
                          <w:p w14:paraId="2087F354">
                            <w:pPr>
                              <w:rPr>
                                <w:rFonts w:hint="default"/>
                                <w:lang w:val="en-US" w:eastAsia="zh-CN"/>
                              </w:rPr>
                            </w:pP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eastAsia="宋体"/>
                                      <w:color w:val="FF0000"/>
                                      <w:lang w:val="en-US" w:eastAsia="zh-CN"/>
                                    </w:rPr>
                                  </w:pPr>
                                  <w:r>
                                    <w:rPr>
                                      <w:rFonts w:hint="eastAsia"/>
                                      <w:lang w:val="en-US" w:eastAsia="zh-CN"/>
                                    </w:rPr>
                                    <w:t>3、</w:t>
                                  </w:r>
                                  <w:r>
                                    <w:rPr>
                                      <w:rFonts w:hint="default" w:ascii="宋体" w:hAnsi="宋体" w:eastAsia="宋体" w:cs="宋体"/>
                                      <w:sz w:val="21"/>
                                      <w:szCs w:val="21"/>
                                      <w:vertAlign w:val="baseline"/>
                                      <w:lang w:val="en-US" w:eastAsia="zh-CN"/>
                                    </w:rPr>
                                    <w:t>Apriori、FP-Growth</w:t>
                                  </w:r>
                                  <w:r>
                                    <w:rPr>
                                      <w:rFonts w:hint="eastAsia" w:ascii="宋体" w:hAnsi="宋体" w:eastAsia="宋体" w:cs="宋体"/>
                                      <w:sz w:val="21"/>
                                      <w:szCs w:val="21"/>
                                      <w:vertAlign w:val="baseline"/>
                                      <w:lang w:val="en-US" w:eastAsia="zh-CN"/>
                                    </w:rPr>
                                    <w:t>生态系统构成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eastAsia="宋体"/>
                                <w:color w:val="FF0000"/>
                                <w:lang w:val="en-US" w:eastAsia="zh-CN"/>
                              </w:rPr>
                            </w:pPr>
                            <w:r>
                              <w:rPr>
                                <w:rFonts w:hint="eastAsia"/>
                                <w:lang w:val="en-US" w:eastAsia="zh-CN"/>
                              </w:rPr>
                              <w:t>3、</w:t>
                            </w:r>
                            <w:r>
                              <w:rPr>
                                <w:rFonts w:hint="default" w:ascii="宋体" w:hAnsi="宋体" w:eastAsia="宋体" w:cs="宋体"/>
                                <w:sz w:val="21"/>
                                <w:szCs w:val="21"/>
                                <w:vertAlign w:val="baseline"/>
                                <w:lang w:val="en-US" w:eastAsia="zh-CN"/>
                              </w:rPr>
                              <w:t>Apriori、FP-Growth</w:t>
                            </w:r>
                            <w:r>
                              <w:rPr>
                                <w:rFonts w:hint="eastAsia" w:ascii="宋体" w:hAnsi="宋体" w:eastAsia="宋体" w:cs="宋体"/>
                                <w:sz w:val="21"/>
                                <w:szCs w:val="21"/>
                                <w:vertAlign w:val="baseline"/>
                                <w:lang w:val="en-US" w:eastAsia="zh-CN"/>
                              </w:rPr>
                              <w:t>生态系统构成</w:t>
                            </w:r>
                          </w:p>
                        </w:txbxContent>
                      </v:textbox>
                    </v:shape>
                  </w:pict>
                </mc:Fallback>
              </mc:AlternateContent>
            </w:r>
          </w:p>
          <w:p w14:paraId="3C3DFE3E">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default" w:ascii="宋体" w:hAnsi="宋体" w:eastAsia="宋体" w:cs="宋体"/>
                <w:sz w:val="21"/>
                <w:szCs w:val="21"/>
                <w:vertAlign w:val="baseline"/>
                <w:lang w:val="en-US" w:eastAsia="zh-CN"/>
              </w:rPr>
              <w:t>Apriori、FP-Growth</w:t>
            </w:r>
            <w:r>
              <w:rPr>
                <w:rFonts w:hint="eastAsia" w:ascii="宋体" w:hAnsi="宋体" w:eastAsia="宋体" w:cs="宋体"/>
                <w:sz w:val="21"/>
                <w:szCs w:val="21"/>
                <w:vertAlign w:val="baseline"/>
                <w:lang w:val="en-US" w:eastAsia="zh-CN"/>
              </w:rPr>
              <w:t>的核心</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259B3B85">
            <w:pPr>
              <w:spacing w:line="400" w:lineRule="exact"/>
              <w:jc w:val="left"/>
              <w:rPr>
                <w:rFonts w:hint="eastAsia" w:ascii="宋体" w:hAnsi="宋体" w:eastAsia="宋体" w:cs="宋体"/>
                <w:sz w:val="24"/>
                <w:szCs w:val="24"/>
              </w:rPr>
            </w:pPr>
            <w:r>
              <w:rPr>
                <w:rFonts w:hint="eastAsia" w:ascii="宋体" w:hAnsi="宋体" w:eastAsia="宋体" w:cs="宋体"/>
                <w:sz w:val="24"/>
                <w:szCs w:val="24"/>
              </w:rPr>
              <w:t>引导学生思考：在海量消费记录、用户行为数据里，如何快速发现商品搭配、行为关联规律？像超市购物篮中商品常一起被买，传统逐一对数据找关系的方式有何弊端？</w:t>
            </w:r>
          </w:p>
          <w:p w14:paraId="25468DD1">
            <w:pPr>
              <w:spacing w:line="400" w:lineRule="exact"/>
              <w:jc w:val="left"/>
              <w:rPr>
                <w:rFonts w:hint="eastAsia" w:ascii="Times New Roman" w:hAnsi="Times New Roman" w:eastAsia="宋体" w:cs="Times New Roman"/>
                <w:sz w:val="24"/>
                <w:lang w:val="en-US" w:eastAsia="zh-CN"/>
              </w:rPr>
            </w:pPr>
            <w:r>
              <w:rPr>
                <w:rFonts w:hint="eastAsia" w:ascii="宋体" w:hAnsi="宋体" w:eastAsia="宋体" w:cs="宋体"/>
                <w:sz w:val="24"/>
                <w:szCs w:val="24"/>
              </w:rPr>
              <w:t>激发兴趣，简述关联规则挖掘因数据挖掘需求而生，在商业决策、用户分析等场景的价值，引出其是从海量数据挖潜在关联的关键技术 。</w:t>
            </w:r>
          </w:p>
          <w:p w14:paraId="2575DF16">
            <w:pPr>
              <w:spacing w:line="400" w:lineRule="exact"/>
              <w:jc w:val="left"/>
              <w:rPr>
                <w:rFonts w:hint="eastAsia" w:ascii="Times New Roman" w:hAnsi="Times New Roman" w:eastAsia="宋体" w:cs="Times New Roman"/>
                <w:sz w:val="24"/>
                <w:lang w:val="en-US" w:eastAsia="zh-CN"/>
              </w:rPr>
            </w:pP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34E15EF7">
            <w:pPr>
              <w:numPr>
                <w:ilvl w:val="0"/>
                <w:numId w:val="0"/>
              </w:numPr>
              <w:spacing w:line="240" w:lineRule="auto"/>
              <w:ind w:leftChars="0"/>
              <w:jc w:val="left"/>
              <w:rPr>
                <w:rFonts w:hint="eastAsia" w:ascii="宋体" w:hAnsi="宋体" w:eastAsia="宋体" w:cs="宋体"/>
                <w:sz w:val="24"/>
                <w:szCs w:val="24"/>
              </w:rPr>
            </w:pPr>
            <w:r>
              <w:rPr>
                <w:rFonts w:hint="eastAsia" w:ascii="宋体" w:hAnsi="宋体" w:eastAsia="宋体" w:cs="宋体"/>
                <w:sz w:val="24"/>
                <w:szCs w:val="24"/>
              </w:rPr>
              <w:t>教师介绍课程总体框架，涵盖关联规则挖掘基本概念、经典算法（Apriori、FP - Growth ）、应用场景（电商商品关联、医疗诊断关联 ）；说明课程目标（掌握算法原理与简单实践 ）、教学方式（理论讲解+案例实操+小组研讨 ）、考核安排（算法推导+项目应用 ）及项目任务（用关联规则挖掘分析真实数据集 ）。</w:t>
            </w:r>
          </w:p>
          <w:p w14:paraId="53451A34">
            <w:pPr>
              <w:numPr>
                <w:ilvl w:val="0"/>
                <w:numId w:val="0"/>
              </w:numPr>
              <w:spacing w:line="240" w:lineRule="auto"/>
              <w:ind w:leftChars="0"/>
              <w:jc w:val="left"/>
              <w:rPr>
                <w:rFonts w:hint="eastAsia"/>
                <w:b/>
                <w:sz w:val="24"/>
                <w:lang w:val="en-US" w:eastAsia="zh-CN"/>
              </w:rPr>
            </w:pPr>
            <w:r>
              <w:rPr>
                <w:rFonts w:hint="eastAsia" w:ascii="宋体" w:hAnsi="宋体" w:eastAsia="宋体" w:cs="宋体"/>
                <w:sz w:val="24"/>
                <w:szCs w:val="24"/>
              </w:rPr>
              <w:t>强调本单元是数据挖掘知识体系的重要分支，帮学生建立关联规则挖掘认知，为后续复杂场景应用打基础 。</w:t>
            </w: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1、关联规则挖掘发展背景讲解</w:t>
            </w:r>
          </w:p>
          <w:p w14:paraId="3C19CAF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1. 挖掘潜在关联价值：</w:t>
            </w:r>
          </w:p>
          <w:p w14:paraId="64E92F03">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从海量无序数据中，发现如“购买尿布的顾客同时买啤酒”这类隐性关联，为营销、决策提供依据 。</w:t>
            </w:r>
          </w:p>
          <w:p w14:paraId="6504E721">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举例：电商平台用关联规则挖掘优化商品摆放、套餐设计 。</w:t>
            </w:r>
          </w:p>
          <w:p w14:paraId="0E302D81">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2. 算法普适性与可解释性：</w:t>
            </w:r>
          </w:p>
          <w:p w14:paraId="40B72935">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经典算法（Apriori、FP - Growth ）逻辑清晰，挖掘出的关联规则（支持度、置信度、提升度 ）可直观解释业务含义，适配零售、医疗、金融等多行业 。</w:t>
            </w:r>
          </w:p>
          <w:p w14:paraId="2BF11960">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对比复杂深度学习模型，突出其在业务理解与快速应用上的优势 。</w:t>
            </w:r>
          </w:p>
          <w:p w14:paraId="0D541985">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关联规则挖掘核心优势解析</w:t>
            </w:r>
          </w:p>
          <w:p w14:paraId="274851A6">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分布式存储与计算能力，弹性扩展能力，成本低廉（使用廉价硬件）。</w:t>
            </w:r>
          </w:p>
          <w:p w14:paraId="406AB79D">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高容错性与副本机制保障数据安全。</w:t>
            </w:r>
          </w:p>
          <w:p w14:paraId="43428EA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开源生态，广泛的社区支持。</w:t>
            </w:r>
          </w:p>
          <w:p w14:paraId="607B06D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举例对比传统存储系统，突出优势。</w:t>
            </w:r>
          </w:p>
          <w:p w14:paraId="6ADFCE57">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关联规则挖掘生态（算法与流程 ）构成介绍</w:t>
            </w:r>
          </w:p>
          <w:p w14:paraId="2BCA2442">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1. 核心算法：</w:t>
            </w:r>
          </w:p>
          <w:p w14:paraId="362E6093">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Apriori算法：基于“频繁项集的子集必频繁”先验性质，通过生成候选集、扫描数据集计算支持度，逐层挖掘频繁项集，进而生成关联规则 。</w:t>
            </w:r>
          </w:p>
          <w:p w14:paraId="21F031FF">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FP - Growth算法：构建FP树压缩存储数据集，避免Apriori算法的候选集爆炸问题，高效挖掘频繁项集 。</w:t>
            </w:r>
          </w:p>
          <w:p w14:paraId="0C1C4534">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对比两种算法的流程、时间复杂度，分析适用场景（如数据规模、稀疏度差异时的选择 ） 。</w:t>
            </w:r>
          </w:p>
          <w:p w14:paraId="02F89344">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2. 挖掘流程：</w:t>
            </w:r>
          </w:p>
          <w:p w14:paraId="38E47295">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数据预处理（清洗、离散化等 ）→ 选择算法挖掘频繁项集 → 依据频繁项集生成关联规则 → 筛选满足支持度、置信度等阈值的规则 → 业务解读与应用 。</w:t>
            </w:r>
          </w:p>
          <w:p w14:paraId="497ABE14">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728F42F5">
            <w:pPr>
              <w:spacing w:line="400" w:lineRule="exact"/>
              <w:jc w:val="left"/>
              <w:rPr>
                <w:rFonts w:hint="eastAsia" w:asciiTheme="minorEastAsia" w:hAnsiTheme="minorEastAsia" w:eastAsiaTheme="minorEastAsia"/>
                <w:sz w:val="24"/>
                <w:lang w:eastAsia="zh-CN"/>
              </w:rPr>
            </w:pPr>
            <w:r>
              <w:rPr>
                <w:rFonts w:hint="default" w:asciiTheme="minorEastAsia" w:hAnsiTheme="minorEastAsia" w:eastAsiaTheme="minorEastAsia"/>
                <w:sz w:val="24"/>
                <w:lang w:val="en-US" w:eastAsia="zh-CN"/>
              </w:rPr>
              <w:t>通过图示（如Apriori算法的候选集生成与剪枝流程、FP树构建示意图 ）展示算法逻辑，帮学生建立整体概念 。</w:t>
            </w:r>
          </w:p>
          <w:p w14:paraId="4A6C0060">
            <w:pPr>
              <w:spacing w:line="400" w:lineRule="exact"/>
              <w:jc w:val="left"/>
              <w:rPr>
                <w:rFonts w:hint="eastAsia" w:asciiTheme="minorEastAsia" w:hAnsiTheme="minorEastAsia" w:eastAsiaTheme="minorEastAsia"/>
                <w:sz w:val="24"/>
                <w:lang w:eastAsia="zh-CN"/>
              </w:rPr>
            </w:pPr>
          </w:p>
          <w:p w14:paraId="0C0A6F9D">
            <w:pPr>
              <w:spacing w:line="400" w:lineRule="exact"/>
              <w:jc w:val="left"/>
              <w:rPr>
                <w:rFonts w:hint="eastAsia" w:asciiTheme="minorEastAsia" w:hAnsiTheme="minorEastAsia" w:eastAsiaTheme="minorEastAsia"/>
                <w:sz w:val="24"/>
                <w:lang w:val="en-US" w:eastAsia="zh-CN"/>
              </w:rPr>
            </w:pPr>
          </w:p>
          <w:p w14:paraId="3266545A">
            <w:pPr>
              <w:spacing w:line="400" w:lineRule="exact"/>
              <w:jc w:val="left"/>
              <w:rPr>
                <w:rFonts w:hint="eastAsia" w:asciiTheme="minorEastAsia" w:hAnsiTheme="minorEastAsia" w:eastAsiaTheme="minorEastAsia"/>
                <w:sz w:val="24"/>
                <w:lang w:val="en-US" w:eastAsia="zh-CN"/>
              </w:rPr>
            </w:pPr>
          </w:p>
          <w:p w14:paraId="7D17C96C">
            <w:pPr>
              <w:spacing w:line="400" w:lineRule="exact"/>
              <w:jc w:val="left"/>
              <w:rPr>
                <w:rFonts w:hint="eastAsia" w:asciiTheme="minorEastAsia" w:hAnsiTheme="minorEastAsia" w:eastAsiaTheme="minorEastAsia"/>
                <w:sz w:val="24"/>
                <w:lang w:val="en-US" w:eastAsia="zh-CN"/>
              </w:rPr>
            </w:pPr>
          </w:p>
          <w:p w14:paraId="481B1125">
            <w:pPr>
              <w:spacing w:line="400" w:lineRule="exact"/>
              <w:jc w:val="left"/>
              <w:rPr>
                <w:rFonts w:hint="eastAsia" w:asciiTheme="minorEastAsia" w:hAnsiTheme="minorEastAsia" w:eastAsiaTheme="minorEastAsia"/>
                <w:sz w:val="24"/>
                <w:lang w:val="en-US" w:eastAsia="zh-CN"/>
              </w:rPr>
            </w:pP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2A06D9C7">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总结关联规则挖掘发展背景（商业需求驱动、数据挖掘技术演进 ）、核心优势（挖掘隐性关联、算法可解释性强 ）及算法与流程构成（Apriori、FP - Growth算法对比，完整挖掘流程 ）。</w:t>
            </w:r>
          </w:p>
          <w:p w14:paraId="60A5C3BC">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作业：梳理Apriori与FP - Growth算法的核心区别，整理实操中算法运行的关键代码逻辑 。</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7577C26D">
            <w:pPr>
              <w:ind w:firstLine="301" w:firstLineChars="100"/>
              <w:jc w:val="left"/>
              <w:rPr>
                <w:rFonts w:hint="eastAsia" w:ascii="宋体" w:hAnsi="宋体" w:eastAsia="宋体" w:cs="宋体"/>
                <w:b/>
                <w:bCs/>
                <w:sz w:val="30"/>
                <w:szCs w:val="30"/>
                <w:vertAlign w:val="baseline"/>
                <w:lang w:val="en-US" w:eastAsia="zh-CN"/>
              </w:rPr>
            </w:pPr>
            <w:r>
              <w:rPr>
                <w:rFonts w:hint="eastAsia" w:ascii="宋体" w:hAnsi="宋体" w:eastAsia="宋体" w:cs="宋体"/>
                <w:b/>
                <w:bCs/>
                <w:sz w:val="30"/>
                <w:szCs w:val="30"/>
                <w:vertAlign w:val="baseline"/>
                <w:lang w:val="en-US" w:eastAsia="zh-CN"/>
              </w:rPr>
              <w:t>关联规则挖掘核心</w:t>
            </w:r>
          </w:p>
          <w:p w14:paraId="66FF817B">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一、关联规则挖掘发展背景</w:t>
            </w:r>
          </w:p>
          <w:p w14:paraId="01EAF0E8">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二、关联规则挖掘核心优势</w:t>
            </w:r>
          </w:p>
          <w:p w14:paraId="7B5EEBE3">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三、关联规则挖掘核心算法与流程</w:t>
            </w:r>
          </w:p>
          <w:p w14:paraId="158B41D8">
            <w:pPr>
              <w:pStyle w:val="16"/>
              <w:spacing w:line="400" w:lineRule="exact"/>
              <w:ind w:left="0" w:leftChars="0" w:firstLine="0" w:firstLineChars="0"/>
              <w:jc w:val="left"/>
              <w:rPr>
                <w:sz w:val="24"/>
              </w:rPr>
            </w:pPr>
            <w:r>
              <w:rPr>
                <w:rFonts w:hint="eastAsia" w:ascii="宋体" w:hAnsi="宋体" w:eastAsia="宋体" w:cs="宋体"/>
                <w:sz w:val="24"/>
                <w:szCs w:val="24"/>
                <w:vertAlign w:val="baseline"/>
                <w:lang w:val="en-US" w:eastAsia="zh-CN"/>
              </w:rPr>
              <w:t>Apriori、FP-Growth、Eclat</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rFonts w:hint="eastAsia" w:ascii="宋体" w:hAnsi="宋体" w:eastAsia="宋体" w:cs="宋体"/>
                <w:sz w:val="24"/>
                <w:szCs w:val="24"/>
              </w:rPr>
              <w:t>关联规则挖掘作为数据挖掘领域的核心技术，在商业智能、用户行为分析、医疗诊断等多场景中发挥着关键作用。通过本单元的教学，学生对关联规则挖掘的发展背景、核心优势、经典算法及挖掘流程有了初步认知。课堂教学中采用理论讲解与案例实操相结合的方式，引导学生分析购物篮数据、用户消费记录等真实案例，并通过编程实践实现Apriori、FP-Growth等算法，显著提升了学生对规则挖掘逻辑的理解和动手能力。</w:t>
            </w:r>
            <w:bookmarkStart w:id="0" w:name="_GoBack"/>
            <w:bookmarkEnd w:id="0"/>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4A1DE9E"/>
    <w:multiLevelType w:val="singleLevel"/>
    <w:tmpl w:val="C4A1DE9E"/>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316832"/>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124754"/>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1597</Words>
  <Characters>1815</Characters>
  <Lines>21</Lines>
  <Paragraphs>6</Paragraphs>
  <TotalTime>31</TotalTime>
  <ScaleCrop>false</ScaleCrop>
  <LinksUpToDate>false</LinksUpToDate>
  <CharactersWithSpaces>1872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萩</cp:lastModifiedBy>
  <dcterms:modified xsi:type="dcterms:W3CDTF">2025-06-24T00:59:50Z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EE7211C6156B43C59BE60CE7AFC2608A_13</vt:lpwstr>
  </property>
  <property fmtid="{D5CDD505-2E9C-101B-9397-08002B2CF9AE}" pid="4" name="KSOTemplateDocerSaveRecord">
    <vt:lpwstr>eyJoZGlkIjoiZjcyZjFjZjNlM2JhMzgxNjA0NGE5YWRiYjE4Y2U4ZGYiLCJ1c2VySWQiOiIxNDI0MjgxNDA4In0=</vt:lpwstr>
  </property>
</Properties>
</file>