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02EAB">
      <w:r>
        <w:drawing>
          <wp:inline distT="0" distB="0" distL="0" distR="0">
            <wp:extent cx="3515360" cy="735965"/>
            <wp:effectExtent l="0" t="0" r="8890" b="6985"/>
            <wp:docPr id="1" name="图片 1" descr="C:\Users\Administrator\Desktop\aaa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aaa.em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1536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6CD94"/>
    <w:p w14:paraId="61D26689">
      <w:pPr>
        <w:rPr>
          <w:rFonts w:hint="eastAsia"/>
        </w:rPr>
      </w:pPr>
    </w:p>
    <w:p w14:paraId="6FD2CE64"/>
    <w:p w14:paraId="45F23053">
      <w:pPr>
        <w:jc w:val="center"/>
        <w:rPr>
          <w:rFonts w:ascii="华文新魏" w:hAnsi="楷体" w:eastAsia="华文新魏"/>
          <w:sz w:val="106"/>
          <w:szCs w:val="106"/>
        </w:rPr>
      </w:pPr>
      <w:r>
        <w:rPr>
          <w:rFonts w:hint="eastAsia" w:ascii="华文新魏" w:hAnsi="楷体" w:eastAsia="华文新魏"/>
          <w:sz w:val="106"/>
          <w:szCs w:val="106"/>
        </w:rPr>
        <w:t>教  师  教  案</w:t>
      </w:r>
    </w:p>
    <w:p w14:paraId="56B0ECB8"/>
    <w:p w14:paraId="006FE15A"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（20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24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 -20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25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学年</w:t>
      </w:r>
      <w:r>
        <w:rPr>
          <w:rFonts w:asciiTheme="majorEastAsia" w:hAnsiTheme="majorEastAsia" w:eastAsiaTheme="majorEastAsia"/>
          <w:b/>
          <w:sz w:val="30"/>
          <w:szCs w:val="30"/>
        </w:rPr>
        <w:t>第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  <w:lang w:val="en-US" w:eastAsia="zh-CN"/>
        </w:rPr>
        <w:t>二</w:t>
      </w:r>
      <w:r>
        <w:rPr>
          <w:rFonts w:asciiTheme="majorEastAsia" w:hAnsiTheme="majorEastAsia" w:eastAsiaTheme="majorEastAsia"/>
          <w:b/>
          <w:sz w:val="30"/>
          <w:szCs w:val="30"/>
        </w:rPr>
        <w:t xml:space="preserve"> 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 xml:space="preserve"> 学期）</w:t>
      </w:r>
    </w:p>
    <w:p w14:paraId="34C5AAF6">
      <w:pPr>
        <w:rPr>
          <w:rFonts w:asciiTheme="majorEastAsia" w:hAnsiTheme="majorEastAsia" w:eastAsiaTheme="majorEastAsia"/>
          <w:b/>
          <w:sz w:val="30"/>
          <w:szCs w:val="30"/>
        </w:rPr>
      </w:pPr>
    </w:p>
    <w:p w14:paraId="2F68473C">
      <w:pPr>
        <w:rPr>
          <w:rFonts w:asciiTheme="majorEastAsia" w:hAnsiTheme="majorEastAsia" w:eastAsiaTheme="majorEastAsia"/>
          <w:b/>
          <w:sz w:val="30"/>
          <w:szCs w:val="30"/>
        </w:rPr>
      </w:pPr>
    </w:p>
    <w:tbl>
      <w:tblPr>
        <w:tblStyle w:val="7"/>
        <w:tblW w:w="0" w:type="auto"/>
        <w:tblInd w:w="74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3"/>
        <w:gridCol w:w="236"/>
        <w:gridCol w:w="4444"/>
      </w:tblGrid>
      <w:tr w14:paraId="1F9DE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50205CD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课程名称</w:t>
            </w:r>
          </w:p>
        </w:tc>
        <w:tc>
          <w:tcPr>
            <w:tcW w:w="236" w:type="dxa"/>
          </w:tcPr>
          <w:p w14:paraId="4B47AF16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151E0D7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 w:cstheme="minorBidi"/>
                <w:b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Hadoop分布式存储</w:t>
            </w:r>
          </w:p>
        </w:tc>
      </w:tr>
      <w:tr w14:paraId="60ABF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5DA6D58B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授课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专业</w:t>
            </w:r>
          </w:p>
        </w:tc>
        <w:tc>
          <w:tcPr>
            <w:tcW w:w="236" w:type="dxa"/>
          </w:tcPr>
          <w:p w14:paraId="03B22331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10E5788D">
            <w:pPr>
              <w:tabs>
                <w:tab w:val="left" w:pos="3232"/>
              </w:tabs>
              <w:spacing w:line="800" w:lineRule="exact"/>
              <w:jc w:val="center"/>
              <w:textAlignment w:val="bottom"/>
              <w:rPr>
                <w:rFonts w:hint="eastAsia" w:eastAsia="微软雅黑" w:asciiTheme="majorEastAsia" w:hAnsi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大数据技术、人工智能技术应用</w:t>
            </w:r>
          </w:p>
        </w:tc>
      </w:tr>
      <w:tr w14:paraId="1458F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161C4477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任课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教师</w:t>
            </w:r>
          </w:p>
        </w:tc>
        <w:tc>
          <w:tcPr>
            <w:tcW w:w="236" w:type="dxa"/>
          </w:tcPr>
          <w:p w14:paraId="77E3A672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46A14D3E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李洪涛</w:t>
            </w:r>
          </w:p>
        </w:tc>
      </w:tr>
      <w:tr w14:paraId="604EC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3" w:type="dxa"/>
          </w:tcPr>
          <w:p w14:paraId="3097D790">
            <w:pPr>
              <w:spacing w:line="800" w:lineRule="exact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所</w:t>
            </w: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在教学单位</w:t>
            </w:r>
          </w:p>
        </w:tc>
        <w:tc>
          <w:tcPr>
            <w:tcW w:w="236" w:type="dxa"/>
          </w:tcPr>
          <w:p w14:paraId="63655208">
            <w:pPr>
              <w:spacing w:line="800" w:lineRule="exact"/>
              <w:ind w:left="-102" w:leftChars="-50" w:hanging="3" w:hangingChars="1"/>
              <w:jc w:val="distribute"/>
              <w:textAlignment w:val="bottom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  <w:r>
              <w:rPr>
                <w:rFonts w:asciiTheme="majorEastAsia" w:hAnsiTheme="majorEastAsia" w:eastAsiaTheme="majorEastAsia"/>
                <w:b/>
                <w:sz w:val="30"/>
                <w:szCs w:val="30"/>
              </w:rPr>
              <w:t>：</w:t>
            </w:r>
          </w:p>
        </w:tc>
        <w:tc>
          <w:tcPr>
            <w:tcW w:w="4444" w:type="dxa"/>
            <w:tcBorders>
              <w:top w:val="single" w:color="auto" w:sz="4" w:space="0"/>
              <w:bottom w:val="single" w:color="auto" w:sz="4" w:space="0"/>
            </w:tcBorders>
          </w:tcPr>
          <w:p w14:paraId="64066D72">
            <w:pPr>
              <w:spacing w:line="800" w:lineRule="exact"/>
              <w:jc w:val="center"/>
              <w:textAlignment w:val="bottom"/>
              <w:rPr>
                <w:rFonts w:hint="default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  <w:lang w:val="en-US" w:eastAsia="zh-CN"/>
              </w:rPr>
              <w:t>智能工程学院</w:t>
            </w:r>
          </w:p>
        </w:tc>
      </w:tr>
    </w:tbl>
    <w:p w14:paraId="584797B0"/>
    <w:p w14:paraId="56D44F0C"/>
    <w:p w14:paraId="6E67ED61"/>
    <w:p w14:paraId="525AE04E"/>
    <w:p w14:paraId="0EA4CCD3"/>
    <w:p w14:paraId="325EA75E"/>
    <w:p w14:paraId="0DB52A33"/>
    <w:p w14:paraId="43A88AB6">
      <w:pPr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吉林水利</w:t>
      </w:r>
      <w:r>
        <w:rPr>
          <w:rFonts w:asciiTheme="minorEastAsia" w:hAnsiTheme="minorEastAsia"/>
          <w:b/>
          <w:sz w:val="40"/>
        </w:rPr>
        <w:t>电力职业学院</w:t>
      </w:r>
      <w:r>
        <w:rPr>
          <w:rFonts w:hint="eastAsia" w:asciiTheme="minorEastAsia" w:hAnsiTheme="minorEastAsia"/>
          <w:b/>
          <w:sz w:val="40"/>
        </w:rPr>
        <w:t>教务</w:t>
      </w:r>
      <w:r>
        <w:rPr>
          <w:rFonts w:asciiTheme="minorEastAsia" w:hAnsiTheme="minorEastAsia"/>
          <w:b/>
          <w:sz w:val="40"/>
        </w:rPr>
        <w:t>处制</w:t>
      </w:r>
    </w:p>
    <w:p w14:paraId="433258DF">
      <w:pPr>
        <w:jc w:val="center"/>
        <w:rPr>
          <w:rFonts w:asciiTheme="minorEastAsia" w:hAnsiTheme="minorEastAsia"/>
          <w:b/>
          <w:sz w:val="40"/>
        </w:rPr>
      </w:pPr>
    </w:p>
    <w:p w14:paraId="5F5A6B77">
      <w:pPr>
        <w:jc w:val="center"/>
        <w:rPr>
          <w:rFonts w:asciiTheme="minorEastAsia" w:hAnsiTheme="minorEastAsia"/>
          <w:b/>
          <w:sz w:val="40"/>
        </w:rPr>
      </w:pPr>
    </w:p>
    <w:p w14:paraId="5F9BE029">
      <w:pPr>
        <w:jc w:val="center"/>
        <w:rPr>
          <w:rFonts w:asciiTheme="minorEastAsia" w:hAnsiTheme="minorEastAsia"/>
          <w:b/>
          <w:sz w:val="40"/>
        </w:rPr>
      </w:pPr>
    </w:p>
    <w:p w14:paraId="5D092D4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教案编写说明</w:t>
      </w:r>
    </w:p>
    <w:p w14:paraId="55918BD2">
      <w:pPr>
        <w:spacing w:line="480" w:lineRule="exact"/>
        <w:ind w:firstLine="560" w:firstLineChars="200"/>
        <w:rPr>
          <w:sz w:val="28"/>
        </w:rPr>
      </w:pPr>
      <w:r>
        <w:rPr>
          <w:rFonts w:hint="eastAsia"/>
          <w:sz w:val="28"/>
        </w:rPr>
        <w:t>教案是任课教师的教学实施方案。教师备课、应深入学习和研究教学大纲，严格依据教学大纲来备课，要从教学计划、教学大纲的整体上认识和把握课程，要对每个单元的教学内容进行科学合理的设计，突出“教学目的和教学基本要求的首位性”。明确教学目标，优化教学内容，把握教学重点和难点，改革教学方法，推行现代化的教学手段，在熟悉教材、了解学生的基础上，结合教学实践经验，设计好教案，撰写好教案，切实提高教学质量。教学编写说明如下：</w:t>
      </w:r>
    </w:p>
    <w:p w14:paraId="105D1011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课程性质、课程总学时、授课方式、课程考核等有关信息请在各栏内选择打“√</w:t>
      </w:r>
      <w:r>
        <w:rPr>
          <w:rFonts w:asciiTheme="minorEastAsia" w:hAnsiTheme="minorEastAsia"/>
          <w:sz w:val="28"/>
        </w:rPr>
        <w:t>”</w:t>
      </w:r>
      <w:r>
        <w:rPr>
          <w:rFonts w:hint="eastAsia"/>
          <w:sz w:val="28"/>
        </w:rPr>
        <w:t>或直接填写。</w:t>
      </w:r>
    </w:p>
    <w:p w14:paraId="619E0492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将授课的内容按课时（一般以一次课堂教学2学时）为单位，有序的进行设计编排，主要内容包括：教学目的与基本要求、教学提要（教学重点与难点；教学重点是为了达到确定的教学目的而必须着重讲解和分析的内容；教学难点是就学生接受情况而言的，学生经过自学还不能理解或有困难的地方，即可定为教学的难点）、主要教学内容和教学总结，并以符号标注出重点和难点内容。</w:t>
      </w:r>
    </w:p>
    <w:p w14:paraId="5CA36A0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教学方法和教学手段：教学方法指讲授、讨论、示教、指导等。教学手段指板书、多媒体、网络、模型、标本、挂图、音像等教学工具。教师在教学过程设计中应予充分重视，并在教案中予以体现。</w:t>
      </w:r>
    </w:p>
    <w:p w14:paraId="104238F0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讨论思考题和作业：提出若干问题以供讨论，或作为课后复习时思考，亦可要求学生作为作业来完成。</w:t>
      </w:r>
    </w:p>
    <w:p w14:paraId="244A3C2E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多媒体课件是辅助教学的重要手段之一。计算机类或某些学科的教学，根据教学大纲要求采用多媒体课件辅助教学的，必须制作或准备多媒体课件。</w:t>
      </w:r>
    </w:p>
    <w:p w14:paraId="6748E41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电子教案的编写原则参照纸质教案的编写要求。</w:t>
      </w:r>
    </w:p>
    <w:p w14:paraId="2A14288B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首次开课的青年教师的教案应由导师审核。</w:t>
      </w:r>
    </w:p>
    <w:p w14:paraId="124AEAFF">
      <w:pPr>
        <w:pStyle w:val="13"/>
        <w:numPr>
          <w:ilvl w:val="0"/>
          <w:numId w:val="1"/>
        </w:numPr>
        <w:spacing w:line="480" w:lineRule="exact"/>
        <w:ind w:left="0" w:firstLine="560"/>
        <w:rPr>
          <w:sz w:val="28"/>
        </w:rPr>
      </w:pPr>
      <w:r>
        <w:rPr>
          <w:rFonts w:hint="eastAsia"/>
          <w:sz w:val="28"/>
        </w:rPr>
        <w:t>鼓励教师在教学内容、教学方法和教学手段等方面进行创新与改革。</w:t>
      </w:r>
    </w:p>
    <w:p w14:paraId="5660EA2C">
      <w:pPr>
        <w:pStyle w:val="13"/>
        <w:numPr>
          <w:ilvl w:val="0"/>
          <w:numId w:val="0"/>
        </w:numPr>
        <w:spacing w:line="480" w:lineRule="exact"/>
        <w:jc w:val="center"/>
        <w:rPr>
          <w:sz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吉林水利电力职业学院教案有关信息</w:t>
      </w:r>
    </w:p>
    <w:tbl>
      <w:tblPr>
        <w:tblStyle w:val="6"/>
        <w:tblW w:w="9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095"/>
        <w:gridCol w:w="2488"/>
        <w:gridCol w:w="602"/>
        <w:gridCol w:w="1290"/>
        <w:gridCol w:w="389"/>
        <w:gridCol w:w="946"/>
        <w:gridCol w:w="1335"/>
      </w:tblGrid>
      <w:tr w14:paraId="3A534A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9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23FB1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Hadoop分布式存储</w:t>
            </w:r>
          </w:p>
        </w:tc>
      </w:tr>
      <w:tr w14:paraId="24738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授课教师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938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李洪涛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  称</w:t>
            </w:r>
          </w:p>
        </w:tc>
        <w:tc>
          <w:tcPr>
            <w:tcW w:w="26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006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546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A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3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1.公共基础课（      ）  专业基础课（      ）  专业课（  √   ）</w:t>
            </w:r>
          </w:p>
        </w:tc>
      </w:tr>
      <w:tr w14:paraId="717D0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7AD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57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2.必修课（  √   ）  选修课（      ）</w:t>
            </w:r>
          </w:p>
        </w:tc>
      </w:tr>
      <w:tr w14:paraId="0F6CF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C039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D9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3.理论课（      ）  实践课（      ）  理论课（含实践课）（  √   ）</w:t>
            </w:r>
          </w:p>
        </w:tc>
      </w:tr>
      <w:tr w14:paraId="33AE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AB3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D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4.主要先修课程：</w:t>
            </w:r>
          </w:p>
        </w:tc>
      </w:tr>
      <w:tr w14:paraId="02103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E1A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B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主要后续课程：</w:t>
            </w:r>
          </w:p>
        </w:tc>
      </w:tr>
      <w:tr w14:paraId="257BF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课程总学时</w:t>
            </w:r>
          </w:p>
        </w:tc>
        <w:tc>
          <w:tcPr>
            <w:tcW w:w="10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DF3AE">
            <w:pPr>
              <w:jc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128</w:t>
            </w: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9D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其中：理论（   64  ）学时，实验（  64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）学时，上机（    ）学时</w:t>
            </w:r>
          </w:p>
        </w:tc>
      </w:tr>
      <w:tr w14:paraId="17999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824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EA3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0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其它（      ）学时，其它是指：</w:t>
            </w:r>
          </w:p>
        </w:tc>
      </w:tr>
      <w:tr w14:paraId="25E2D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上课周数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41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43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4DC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上课时间：从第   15   周至第  18   周</w:t>
            </w:r>
          </w:p>
        </w:tc>
        <w:tc>
          <w:tcPr>
            <w:tcW w:w="13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A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周学时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 w14:paraId="6789F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授课方式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263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  <w:t>讲授法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、演示法</w:t>
            </w:r>
          </w:p>
        </w:tc>
      </w:tr>
      <w:tr w14:paraId="2B8A8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课程考核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5FEF3">
            <w:pPr>
              <w:jc w:val="center"/>
              <w:rPr>
                <w:rFonts w:hint="eastAsia" w:ascii="宋体" w:hAnsi="宋体" w:cs="宋体" w:eastAsiaTheme="minorEastAsia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考试</w:t>
            </w:r>
          </w:p>
        </w:tc>
      </w:tr>
      <w:tr w14:paraId="79E7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2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11E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0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  编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C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7CB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6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 版 社</w:t>
            </w: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58E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E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版次与出版时间</w:t>
            </w:r>
          </w:p>
        </w:tc>
        <w:tc>
          <w:tcPr>
            <w:tcW w:w="22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A70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D9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参考资料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5F8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EA3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支持网站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C7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支持网页：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begin"/>
            </w:r>
            <w:r>
              <w:rPr>
                <w:rFonts w:ascii="宋体" w:hAnsi="宋体" w:eastAsia="宋体" w:cs="宋体"/>
                <w:sz w:val="24"/>
                <w:szCs w:val="24"/>
              </w:rPr>
              <w:instrText xml:space="preserve"> HYPERLINK "https://www.omniedu.com/" </w:instrTex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separate"/>
            </w:r>
            <w:r>
              <w:rPr>
                <w:rStyle w:val="9"/>
                <w:rFonts w:ascii="宋体" w:hAnsi="宋体" w:eastAsia="宋体" w:cs="宋体"/>
                <w:sz w:val="24"/>
                <w:szCs w:val="24"/>
              </w:rPr>
              <w:t>中软国际教育科技集团 (omniedu.com)</w:t>
            </w:r>
            <w:r>
              <w:rPr>
                <w:rFonts w:ascii="宋体" w:hAnsi="宋体" w:eastAsia="宋体" w:cs="宋体"/>
                <w:sz w:val="24"/>
                <w:szCs w:val="24"/>
              </w:rPr>
              <w:fldChar w:fldCharType="end"/>
            </w:r>
          </w:p>
        </w:tc>
      </w:tr>
      <w:tr w14:paraId="3E289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3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3752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96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教学论坛：</w:t>
            </w:r>
          </w:p>
        </w:tc>
      </w:tr>
      <w:tr w14:paraId="58C54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7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  注</w:t>
            </w:r>
          </w:p>
        </w:tc>
        <w:tc>
          <w:tcPr>
            <w:tcW w:w="814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7A6B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394C9E9">
      <w:pPr>
        <w:jc w:val="center"/>
        <w:rPr>
          <w:rFonts w:hint="eastAsia" w:asciiTheme="minorEastAsia" w:hAnsiTheme="minorEastAsia"/>
          <w:b/>
          <w:sz w:val="21"/>
          <w:szCs w:val="21"/>
        </w:rPr>
      </w:pPr>
    </w:p>
    <w:p w14:paraId="26D47442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课程教学计划</w:t>
      </w:r>
    </w:p>
    <w:tbl>
      <w:tblPr>
        <w:tblStyle w:val="6"/>
        <w:tblW w:w="94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577"/>
        <w:gridCol w:w="5936"/>
        <w:gridCol w:w="1102"/>
      </w:tblGrid>
      <w:tr w14:paraId="6C651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818" w:type="dxa"/>
            <w:noWrap w:val="0"/>
            <w:vAlign w:val="center"/>
          </w:tcPr>
          <w:p w14:paraId="7D64AB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577" w:type="dxa"/>
            <w:noWrap w:val="0"/>
            <w:vAlign w:val="center"/>
          </w:tcPr>
          <w:p w14:paraId="65E9E44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教学时间</w:t>
            </w:r>
          </w:p>
        </w:tc>
        <w:tc>
          <w:tcPr>
            <w:tcW w:w="5936" w:type="dxa"/>
            <w:noWrap w:val="0"/>
            <w:vAlign w:val="center"/>
          </w:tcPr>
          <w:p w14:paraId="7AD61A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教学任务内容</w:t>
            </w:r>
          </w:p>
        </w:tc>
        <w:tc>
          <w:tcPr>
            <w:tcW w:w="1102" w:type="dxa"/>
            <w:noWrap w:val="0"/>
            <w:vAlign w:val="center"/>
          </w:tcPr>
          <w:p w14:paraId="7B0844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学时</w:t>
            </w:r>
          </w:p>
        </w:tc>
      </w:tr>
      <w:tr w14:paraId="79E1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18" w:type="dxa"/>
            <w:noWrap w:val="0"/>
            <w:vAlign w:val="top"/>
          </w:tcPr>
          <w:p w14:paraId="617F9A7C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77" w:type="dxa"/>
            <w:noWrap w:val="0"/>
            <w:vAlign w:val="top"/>
          </w:tcPr>
          <w:p w14:paraId="37C2B7E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523325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第一章 Hadoop发展简史与生态系统构成</w:t>
            </w:r>
          </w:p>
        </w:tc>
        <w:tc>
          <w:tcPr>
            <w:tcW w:w="1102" w:type="dxa"/>
            <w:noWrap w:val="0"/>
            <w:vAlign w:val="center"/>
          </w:tcPr>
          <w:p w14:paraId="4661A20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7AE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18" w:type="dxa"/>
            <w:noWrap w:val="0"/>
            <w:vAlign w:val="top"/>
          </w:tcPr>
          <w:p w14:paraId="019FC1B5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77" w:type="dxa"/>
            <w:noWrap w:val="0"/>
            <w:vAlign w:val="top"/>
          </w:tcPr>
          <w:p w14:paraId="0EA2299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40B3D8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第二章 HDFS基本原理与副本机制</w:t>
            </w:r>
          </w:p>
        </w:tc>
        <w:tc>
          <w:tcPr>
            <w:tcW w:w="1102" w:type="dxa"/>
            <w:noWrap w:val="0"/>
            <w:vAlign w:val="center"/>
          </w:tcPr>
          <w:p w14:paraId="1F2384D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E7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818" w:type="dxa"/>
            <w:noWrap w:val="0"/>
            <w:vAlign w:val="top"/>
          </w:tcPr>
          <w:p w14:paraId="7AC37B8F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77" w:type="dxa"/>
            <w:noWrap w:val="0"/>
            <w:vAlign w:val="top"/>
          </w:tcPr>
          <w:p w14:paraId="7BAE4B9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1E5342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第三章 Linux命令与Shell环境配置</w:t>
            </w:r>
          </w:p>
        </w:tc>
        <w:tc>
          <w:tcPr>
            <w:tcW w:w="1102" w:type="dxa"/>
            <w:noWrap w:val="0"/>
            <w:vAlign w:val="center"/>
          </w:tcPr>
          <w:p w14:paraId="7DF1395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654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18" w:type="dxa"/>
            <w:noWrap w:val="0"/>
            <w:vAlign w:val="top"/>
          </w:tcPr>
          <w:p w14:paraId="6B69AF65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77" w:type="dxa"/>
            <w:noWrap w:val="0"/>
            <w:vAlign w:val="top"/>
          </w:tcPr>
          <w:p w14:paraId="02B5146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6086D3D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第四章 JDK与SSH免密配置</w:t>
            </w:r>
          </w:p>
        </w:tc>
        <w:tc>
          <w:tcPr>
            <w:tcW w:w="1102" w:type="dxa"/>
            <w:noWrap w:val="0"/>
            <w:vAlign w:val="center"/>
          </w:tcPr>
          <w:p w14:paraId="4C2D1ED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BAC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818" w:type="dxa"/>
            <w:noWrap w:val="0"/>
            <w:vAlign w:val="top"/>
          </w:tcPr>
          <w:p w14:paraId="6EB298D7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577" w:type="dxa"/>
            <w:noWrap w:val="0"/>
            <w:vAlign w:val="top"/>
          </w:tcPr>
          <w:p w14:paraId="30D2B6A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1F7096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第五章 伪分布式环境搭建与配置文件讲解</w:t>
            </w:r>
          </w:p>
        </w:tc>
        <w:tc>
          <w:tcPr>
            <w:tcW w:w="1102" w:type="dxa"/>
            <w:noWrap w:val="0"/>
            <w:vAlign w:val="center"/>
          </w:tcPr>
          <w:p w14:paraId="30E6CD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9F1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18" w:type="dxa"/>
            <w:noWrap w:val="0"/>
            <w:vAlign w:val="top"/>
          </w:tcPr>
          <w:p w14:paraId="2F286F12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77" w:type="dxa"/>
            <w:noWrap w:val="0"/>
            <w:vAlign w:val="top"/>
          </w:tcPr>
          <w:p w14:paraId="1C228F3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030A8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第六章 启动HDFS服务并查看日志</w:t>
            </w:r>
          </w:p>
        </w:tc>
        <w:tc>
          <w:tcPr>
            <w:tcW w:w="1102" w:type="dxa"/>
            <w:noWrap w:val="0"/>
            <w:vAlign w:val="center"/>
          </w:tcPr>
          <w:p w14:paraId="292B305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823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18" w:type="dxa"/>
            <w:noWrap w:val="0"/>
            <w:vAlign w:val="top"/>
          </w:tcPr>
          <w:p w14:paraId="4D40EE0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577" w:type="dxa"/>
            <w:noWrap w:val="0"/>
            <w:vAlign w:val="top"/>
          </w:tcPr>
          <w:p w14:paraId="6257EEE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7AB9D9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第七章 HDFS目录结构与常用命令</w:t>
            </w:r>
          </w:p>
        </w:tc>
        <w:tc>
          <w:tcPr>
            <w:tcW w:w="1102" w:type="dxa"/>
            <w:noWrap w:val="0"/>
            <w:vAlign w:val="center"/>
          </w:tcPr>
          <w:p w14:paraId="20A1B88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DE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8" w:type="dxa"/>
            <w:noWrap w:val="0"/>
            <w:vAlign w:val="top"/>
          </w:tcPr>
          <w:p w14:paraId="599691A3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77" w:type="dxa"/>
            <w:noWrap w:val="0"/>
            <w:vAlign w:val="top"/>
          </w:tcPr>
          <w:p w14:paraId="2882B29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E2FD8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第八章 文件上传下载及权限设置</w:t>
            </w:r>
          </w:p>
        </w:tc>
        <w:tc>
          <w:tcPr>
            <w:tcW w:w="1102" w:type="dxa"/>
            <w:noWrap w:val="0"/>
            <w:vAlign w:val="center"/>
          </w:tcPr>
          <w:p w14:paraId="1F34BEC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C5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" w:hRule="atLeast"/>
          <w:jc w:val="center"/>
        </w:trPr>
        <w:tc>
          <w:tcPr>
            <w:tcW w:w="818" w:type="dxa"/>
            <w:noWrap w:val="0"/>
            <w:vAlign w:val="top"/>
          </w:tcPr>
          <w:p w14:paraId="68A27E2A">
            <w:pPr>
              <w:jc w:val="center"/>
              <w:rPr>
                <w:rFonts w:hint="eastAsia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577" w:type="dxa"/>
            <w:noWrap w:val="0"/>
            <w:vAlign w:val="top"/>
          </w:tcPr>
          <w:p w14:paraId="7FF13A8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8DF43D6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第九章 NameNode与DataNode角色机制</w:t>
            </w:r>
          </w:p>
        </w:tc>
        <w:tc>
          <w:tcPr>
            <w:tcW w:w="1102" w:type="dxa"/>
            <w:noWrap w:val="0"/>
            <w:vAlign w:val="center"/>
          </w:tcPr>
          <w:p w14:paraId="679B6BB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3FA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818" w:type="dxa"/>
            <w:noWrap w:val="0"/>
            <w:vAlign w:val="top"/>
          </w:tcPr>
          <w:p w14:paraId="6E2D47D4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577" w:type="dxa"/>
            <w:noWrap w:val="0"/>
            <w:vAlign w:val="top"/>
          </w:tcPr>
          <w:p w14:paraId="16136E8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EBDA62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第十章 HDFS数据块与副本放置策略</w:t>
            </w:r>
          </w:p>
        </w:tc>
        <w:tc>
          <w:tcPr>
            <w:tcW w:w="1102" w:type="dxa"/>
            <w:noWrap w:val="0"/>
            <w:vAlign w:val="center"/>
          </w:tcPr>
          <w:p w14:paraId="1DE2C6D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6F02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8" w:type="dxa"/>
            <w:noWrap w:val="0"/>
            <w:vAlign w:val="top"/>
          </w:tcPr>
          <w:p w14:paraId="3BF66F99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577" w:type="dxa"/>
            <w:noWrap w:val="0"/>
            <w:vAlign w:val="top"/>
          </w:tcPr>
          <w:p w14:paraId="7B5AABE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8E727B7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第十一章 CheckPoint与EditLog机制</w:t>
            </w:r>
          </w:p>
        </w:tc>
        <w:tc>
          <w:tcPr>
            <w:tcW w:w="1102" w:type="dxa"/>
            <w:noWrap w:val="0"/>
            <w:vAlign w:val="center"/>
          </w:tcPr>
          <w:p w14:paraId="30A040E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B83A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818" w:type="dxa"/>
            <w:noWrap w:val="0"/>
            <w:vAlign w:val="top"/>
          </w:tcPr>
          <w:p w14:paraId="3EEE7CE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577" w:type="dxa"/>
            <w:noWrap w:val="0"/>
            <w:vAlign w:val="top"/>
          </w:tcPr>
          <w:p w14:paraId="4B0D1B2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42413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第十二章 SecondaryNameNode工作机制</w:t>
            </w:r>
          </w:p>
        </w:tc>
        <w:tc>
          <w:tcPr>
            <w:tcW w:w="1102" w:type="dxa"/>
            <w:noWrap w:val="0"/>
            <w:vAlign w:val="center"/>
          </w:tcPr>
          <w:p w14:paraId="7AF0DC5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EFC2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818" w:type="dxa"/>
            <w:noWrap w:val="0"/>
            <w:vAlign w:val="top"/>
          </w:tcPr>
          <w:p w14:paraId="4B565AE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577" w:type="dxa"/>
            <w:noWrap w:val="0"/>
            <w:vAlign w:val="top"/>
          </w:tcPr>
          <w:p w14:paraId="10B0545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9F2945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第十三章 HDFS权限管理与ACL使用</w:t>
            </w:r>
          </w:p>
        </w:tc>
        <w:tc>
          <w:tcPr>
            <w:tcW w:w="1102" w:type="dxa"/>
            <w:noWrap w:val="0"/>
            <w:vAlign w:val="center"/>
          </w:tcPr>
          <w:p w14:paraId="7873AC1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7AD9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3DEF2E57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577" w:type="dxa"/>
            <w:noWrap w:val="0"/>
            <w:vAlign w:val="top"/>
          </w:tcPr>
          <w:p w14:paraId="396B7E7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77FE460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第十四章 安全模式与权限异常处理</w:t>
            </w:r>
          </w:p>
        </w:tc>
        <w:tc>
          <w:tcPr>
            <w:tcW w:w="1102" w:type="dxa"/>
            <w:noWrap w:val="0"/>
            <w:vAlign w:val="center"/>
          </w:tcPr>
          <w:p w14:paraId="6EB5825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63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7672F2A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577" w:type="dxa"/>
            <w:noWrap w:val="0"/>
            <w:vAlign w:val="top"/>
          </w:tcPr>
          <w:p w14:paraId="7478EF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7D635E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第十五章 HA集群搭建与ZK配置</w:t>
            </w:r>
          </w:p>
        </w:tc>
        <w:tc>
          <w:tcPr>
            <w:tcW w:w="1102" w:type="dxa"/>
            <w:noWrap w:val="0"/>
            <w:vAlign w:val="center"/>
          </w:tcPr>
          <w:p w14:paraId="594F8E4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C8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18" w:type="dxa"/>
            <w:noWrap w:val="0"/>
            <w:vAlign w:val="top"/>
          </w:tcPr>
          <w:p w14:paraId="6A0CF0F1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577" w:type="dxa"/>
            <w:noWrap w:val="0"/>
            <w:vAlign w:val="top"/>
          </w:tcPr>
          <w:p w14:paraId="1EFB4E6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8A2F39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第十六章 主备切换测试与容灾方案</w:t>
            </w:r>
          </w:p>
        </w:tc>
        <w:tc>
          <w:tcPr>
            <w:tcW w:w="1102" w:type="dxa"/>
            <w:noWrap w:val="0"/>
            <w:vAlign w:val="center"/>
          </w:tcPr>
          <w:p w14:paraId="65389B6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CADF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9AC375D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577" w:type="dxa"/>
            <w:noWrap w:val="0"/>
            <w:vAlign w:val="top"/>
          </w:tcPr>
          <w:p w14:paraId="3CE965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70D8D8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第十七章 Federation原理与多NameNode部署</w:t>
            </w:r>
          </w:p>
        </w:tc>
        <w:tc>
          <w:tcPr>
            <w:tcW w:w="1102" w:type="dxa"/>
            <w:noWrap w:val="0"/>
            <w:vAlign w:val="center"/>
          </w:tcPr>
          <w:p w14:paraId="20798E0B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1078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0632300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77" w:type="dxa"/>
            <w:noWrap w:val="0"/>
            <w:vAlign w:val="top"/>
          </w:tcPr>
          <w:p w14:paraId="3D3C77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9DA35A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第十八章 联邦机制与HA机制对比实操</w:t>
            </w:r>
          </w:p>
        </w:tc>
        <w:tc>
          <w:tcPr>
            <w:tcW w:w="1102" w:type="dxa"/>
            <w:noWrap w:val="0"/>
            <w:vAlign w:val="center"/>
          </w:tcPr>
          <w:p w14:paraId="0138E3CE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3E95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6C480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577" w:type="dxa"/>
            <w:noWrap w:val="0"/>
            <w:vAlign w:val="top"/>
          </w:tcPr>
          <w:p w14:paraId="317339B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4A3C57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第十九章 YARN架构概述与核心角色</w:t>
            </w:r>
          </w:p>
        </w:tc>
        <w:tc>
          <w:tcPr>
            <w:tcW w:w="1102" w:type="dxa"/>
            <w:noWrap w:val="0"/>
            <w:vAlign w:val="center"/>
          </w:tcPr>
          <w:p w14:paraId="3219238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1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818" w:type="dxa"/>
            <w:noWrap w:val="0"/>
            <w:vAlign w:val="top"/>
          </w:tcPr>
          <w:p w14:paraId="1C372F6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577" w:type="dxa"/>
            <w:noWrap w:val="0"/>
            <w:vAlign w:val="top"/>
          </w:tcPr>
          <w:p w14:paraId="4597D58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67DFF99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第二十章 ApplicationMaster与作业调度</w:t>
            </w:r>
          </w:p>
        </w:tc>
        <w:tc>
          <w:tcPr>
            <w:tcW w:w="1102" w:type="dxa"/>
            <w:noWrap w:val="0"/>
            <w:vAlign w:val="center"/>
          </w:tcPr>
          <w:p w14:paraId="1AC34BA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C4B4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FEF28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577" w:type="dxa"/>
            <w:noWrap w:val="0"/>
            <w:vAlign w:val="top"/>
          </w:tcPr>
          <w:p w14:paraId="42B29C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5CB257C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第二十一章 YARN作业执行流程与监控</w:t>
            </w:r>
          </w:p>
        </w:tc>
        <w:tc>
          <w:tcPr>
            <w:tcW w:w="1102" w:type="dxa"/>
            <w:noWrap w:val="0"/>
            <w:vAlign w:val="center"/>
          </w:tcPr>
          <w:p w14:paraId="19B1541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2A02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7C0D8D0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577" w:type="dxa"/>
            <w:noWrap w:val="0"/>
            <w:vAlign w:val="top"/>
          </w:tcPr>
          <w:p w14:paraId="3C1CB42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A80943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第二十二章 作业失败排查与日志分析</w:t>
            </w:r>
          </w:p>
        </w:tc>
        <w:tc>
          <w:tcPr>
            <w:tcW w:w="1102" w:type="dxa"/>
            <w:noWrap w:val="0"/>
            <w:vAlign w:val="center"/>
          </w:tcPr>
          <w:p w14:paraId="2354776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B1F5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10FC45A7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577" w:type="dxa"/>
            <w:noWrap w:val="0"/>
            <w:vAlign w:val="top"/>
          </w:tcPr>
          <w:p w14:paraId="09738E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05DCB38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第二十三章 MapReduce编程模型与执行流程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10B5F089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52C4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4E200B2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577" w:type="dxa"/>
            <w:noWrap w:val="0"/>
            <w:vAlign w:val="top"/>
          </w:tcPr>
          <w:p w14:paraId="757BD9F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shd w:val="clear" w:color="auto" w:fill="auto"/>
            <w:noWrap w:val="0"/>
            <w:vAlign w:val="center"/>
          </w:tcPr>
          <w:p w14:paraId="33F0542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第二十四章 MapReduce基本案例：单词计数</w:t>
            </w:r>
          </w:p>
        </w:tc>
        <w:tc>
          <w:tcPr>
            <w:tcW w:w="1102" w:type="dxa"/>
            <w:shd w:val="clear" w:color="auto" w:fill="auto"/>
            <w:noWrap w:val="0"/>
            <w:vAlign w:val="center"/>
          </w:tcPr>
          <w:p w14:paraId="2FA7662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4C5C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8" w:type="dxa"/>
            <w:noWrap w:val="0"/>
            <w:vAlign w:val="top"/>
          </w:tcPr>
          <w:p w14:paraId="3F0E49C6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577" w:type="dxa"/>
            <w:noWrap w:val="0"/>
            <w:vAlign w:val="top"/>
          </w:tcPr>
          <w:p w14:paraId="709FDAF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847D591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第二十五章 自定义Mapper/Reducer与排序分区</w:t>
            </w:r>
          </w:p>
        </w:tc>
        <w:tc>
          <w:tcPr>
            <w:tcW w:w="1102" w:type="dxa"/>
            <w:noWrap w:val="0"/>
            <w:vAlign w:val="center"/>
          </w:tcPr>
          <w:p w14:paraId="722652E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2D96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569C1A5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577" w:type="dxa"/>
            <w:noWrap w:val="0"/>
            <w:vAlign w:val="top"/>
          </w:tcPr>
          <w:p w14:paraId="037D953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80A6F2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第二十六章 Combiner优化与多输出输入格式</w:t>
            </w:r>
          </w:p>
        </w:tc>
        <w:tc>
          <w:tcPr>
            <w:tcW w:w="1102" w:type="dxa"/>
            <w:noWrap w:val="0"/>
            <w:vAlign w:val="center"/>
          </w:tcPr>
          <w:p w14:paraId="004462B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F14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52FF9CC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577" w:type="dxa"/>
            <w:noWrap w:val="0"/>
            <w:vAlign w:val="top"/>
          </w:tcPr>
          <w:p w14:paraId="091EA2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0DE645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第二十七章 MapReduce性能调优与缓存机制</w:t>
            </w:r>
          </w:p>
        </w:tc>
        <w:tc>
          <w:tcPr>
            <w:tcW w:w="1102" w:type="dxa"/>
            <w:noWrap w:val="0"/>
            <w:vAlign w:val="center"/>
          </w:tcPr>
          <w:p w14:paraId="7994C20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EB0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EE7D393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577" w:type="dxa"/>
            <w:noWrap w:val="0"/>
            <w:vAlign w:val="top"/>
          </w:tcPr>
          <w:p w14:paraId="44B1B5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2984EB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第二十八章 Shuffle过程优化与调度分析</w:t>
            </w:r>
          </w:p>
        </w:tc>
        <w:tc>
          <w:tcPr>
            <w:tcW w:w="1102" w:type="dxa"/>
            <w:noWrap w:val="0"/>
            <w:vAlign w:val="center"/>
          </w:tcPr>
          <w:p w14:paraId="35CF645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977A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1EC2368">
            <w:pPr>
              <w:jc w:val="center"/>
              <w:rPr>
                <w:rFonts w:hint="default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577" w:type="dxa"/>
            <w:noWrap w:val="0"/>
            <w:vAlign w:val="top"/>
          </w:tcPr>
          <w:p w14:paraId="63321A0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9BDF4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第二十九章 HDFS支持的压缩格式与命令</w:t>
            </w:r>
          </w:p>
        </w:tc>
        <w:tc>
          <w:tcPr>
            <w:tcW w:w="1102" w:type="dxa"/>
            <w:noWrap w:val="0"/>
            <w:vAlign w:val="center"/>
          </w:tcPr>
          <w:p w14:paraId="4894E3F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E144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11ABD6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577" w:type="dxa"/>
            <w:noWrap w:val="0"/>
            <w:vAlign w:val="top"/>
          </w:tcPr>
          <w:p w14:paraId="664C65D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781576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第三十章 压缩性能分析与案例实操</w:t>
            </w:r>
          </w:p>
        </w:tc>
        <w:tc>
          <w:tcPr>
            <w:tcW w:w="1102" w:type="dxa"/>
            <w:noWrap w:val="0"/>
            <w:vAlign w:val="center"/>
          </w:tcPr>
          <w:p w14:paraId="68AFED4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40A1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826694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577" w:type="dxa"/>
            <w:noWrap w:val="0"/>
            <w:vAlign w:val="top"/>
          </w:tcPr>
          <w:p w14:paraId="4C257FF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099686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第三十一章 Writable序列化机制与自定义类</w:t>
            </w:r>
          </w:p>
        </w:tc>
        <w:tc>
          <w:tcPr>
            <w:tcW w:w="1102" w:type="dxa"/>
            <w:noWrap w:val="0"/>
            <w:vAlign w:val="center"/>
          </w:tcPr>
          <w:p w14:paraId="11149BA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D34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494494C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577" w:type="dxa"/>
            <w:noWrap w:val="0"/>
            <w:vAlign w:val="top"/>
          </w:tcPr>
          <w:p w14:paraId="7705B7E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34C39E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第三十二章 序列化格式应用Avro与Parquet</w:t>
            </w:r>
          </w:p>
        </w:tc>
        <w:tc>
          <w:tcPr>
            <w:tcW w:w="1102" w:type="dxa"/>
            <w:noWrap w:val="0"/>
            <w:vAlign w:val="center"/>
          </w:tcPr>
          <w:p w14:paraId="72A902F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864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654BF8E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577" w:type="dxa"/>
            <w:noWrap w:val="0"/>
            <w:vAlign w:val="top"/>
          </w:tcPr>
          <w:p w14:paraId="252E79F9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465AA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第三十三章 Streaming机制与Python MR编程</w:t>
            </w:r>
          </w:p>
        </w:tc>
        <w:tc>
          <w:tcPr>
            <w:tcW w:w="1102" w:type="dxa"/>
            <w:noWrap w:val="0"/>
            <w:vAlign w:val="center"/>
          </w:tcPr>
          <w:p w14:paraId="05CBC73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0170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2AB3F26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577" w:type="dxa"/>
            <w:noWrap w:val="0"/>
            <w:vAlign w:val="top"/>
          </w:tcPr>
          <w:p w14:paraId="1B1544A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B8BAEB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第三十四章 跨语言MR输入输出与调试</w:t>
            </w:r>
          </w:p>
        </w:tc>
        <w:tc>
          <w:tcPr>
            <w:tcW w:w="1102" w:type="dxa"/>
            <w:noWrap w:val="0"/>
            <w:vAlign w:val="center"/>
          </w:tcPr>
          <w:p w14:paraId="581D400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7FD95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0F28B52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577" w:type="dxa"/>
            <w:noWrap w:val="0"/>
            <w:vAlign w:val="top"/>
          </w:tcPr>
          <w:p w14:paraId="7BFE4CE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050F20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第三十五章 系统错误分析与日志排查</w:t>
            </w:r>
          </w:p>
        </w:tc>
        <w:tc>
          <w:tcPr>
            <w:tcW w:w="1102" w:type="dxa"/>
            <w:noWrap w:val="0"/>
            <w:vAlign w:val="center"/>
          </w:tcPr>
          <w:p w14:paraId="43E1D5A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88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54FA79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77" w:type="dxa"/>
            <w:noWrap w:val="0"/>
            <w:vAlign w:val="top"/>
          </w:tcPr>
          <w:p w14:paraId="721BD07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1B7CED7E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第三十六章 JPS/JMX/日志工具实用技巧</w:t>
            </w:r>
          </w:p>
        </w:tc>
        <w:tc>
          <w:tcPr>
            <w:tcW w:w="1102" w:type="dxa"/>
            <w:noWrap w:val="0"/>
            <w:vAlign w:val="center"/>
          </w:tcPr>
          <w:p w14:paraId="7A05739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0753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818" w:type="dxa"/>
            <w:noWrap w:val="0"/>
            <w:vAlign w:val="top"/>
          </w:tcPr>
          <w:p w14:paraId="7CBEEB0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577" w:type="dxa"/>
            <w:noWrap w:val="0"/>
            <w:vAlign w:val="top"/>
          </w:tcPr>
          <w:p w14:paraId="4140F09B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33FD331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第三十七章 资源评估与节点配置策略</w:t>
            </w:r>
          </w:p>
        </w:tc>
        <w:tc>
          <w:tcPr>
            <w:tcW w:w="1102" w:type="dxa"/>
            <w:noWrap w:val="0"/>
            <w:vAlign w:val="center"/>
          </w:tcPr>
          <w:p w14:paraId="3A87C46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8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C429A8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577" w:type="dxa"/>
            <w:noWrap w:val="0"/>
            <w:vAlign w:val="top"/>
          </w:tcPr>
          <w:p w14:paraId="049947D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FBAF9DE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第三十八章 集群容量规划与资源比例设计</w:t>
            </w:r>
          </w:p>
        </w:tc>
        <w:tc>
          <w:tcPr>
            <w:tcW w:w="1102" w:type="dxa"/>
            <w:noWrap w:val="0"/>
            <w:vAlign w:val="center"/>
          </w:tcPr>
          <w:p w14:paraId="0F156C9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FBB4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5E12E4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577" w:type="dxa"/>
            <w:noWrap w:val="0"/>
            <w:vAlign w:val="top"/>
          </w:tcPr>
          <w:p w14:paraId="5A01083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64AC9D9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第三十九章 Ganglia/Prometheus监控集成</w:t>
            </w:r>
          </w:p>
        </w:tc>
        <w:tc>
          <w:tcPr>
            <w:tcW w:w="1102" w:type="dxa"/>
            <w:noWrap w:val="0"/>
            <w:vAlign w:val="center"/>
          </w:tcPr>
          <w:p w14:paraId="40F5C55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7CA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818" w:type="dxa"/>
            <w:noWrap w:val="0"/>
            <w:vAlign w:val="top"/>
          </w:tcPr>
          <w:p w14:paraId="38EA262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577" w:type="dxa"/>
            <w:noWrap w:val="0"/>
            <w:vAlign w:val="top"/>
          </w:tcPr>
          <w:p w14:paraId="38519F9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3D2B3B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第四十章 Metrics指标配置与性能评估</w:t>
            </w:r>
          </w:p>
        </w:tc>
        <w:tc>
          <w:tcPr>
            <w:tcW w:w="1102" w:type="dxa"/>
            <w:noWrap w:val="0"/>
            <w:vAlign w:val="center"/>
          </w:tcPr>
          <w:p w14:paraId="125C148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3354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49559C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577" w:type="dxa"/>
            <w:noWrap w:val="0"/>
            <w:vAlign w:val="top"/>
          </w:tcPr>
          <w:p w14:paraId="5A8F471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99255A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第四十一章 YARN资源调度机制与队列管理</w:t>
            </w:r>
          </w:p>
        </w:tc>
        <w:tc>
          <w:tcPr>
            <w:tcW w:w="1102" w:type="dxa"/>
            <w:noWrap w:val="0"/>
            <w:vAlign w:val="center"/>
          </w:tcPr>
          <w:p w14:paraId="77B3B8D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BBF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818" w:type="dxa"/>
            <w:noWrap w:val="0"/>
            <w:vAlign w:val="top"/>
          </w:tcPr>
          <w:p w14:paraId="4EC2E1E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577" w:type="dxa"/>
            <w:noWrap w:val="0"/>
            <w:vAlign w:val="top"/>
          </w:tcPr>
          <w:p w14:paraId="2299D1F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C0BF9DA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第四十二章 作业优先级与多队列配置实操</w:t>
            </w:r>
          </w:p>
        </w:tc>
        <w:tc>
          <w:tcPr>
            <w:tcW w:w="1102" w:type="dxa"/>
            <w:noWrap w:val="0"/>
            <w:vAlign w:val="center"/>
          </w:tcPr>
          <w:p w14:paraId="517AF56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B1C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CB1DF6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577" w:type="dxa"/>
            <w:noWrap w:val="0"/>
            <w:vAlign w:val="top"/>
          </w:tcPr>
          <w:p w14:paraId="0060A66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076F3615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第四十三章 调度器对比与冲突处理</w:t>
            </w:r>
          </w:p>
        </w:tc>
        <w:tc>
          <w:tcPr>
            <w:tcW w:w="1102" w:type="dxa"/>
            <w:noWrap w:val="0"/>
            <w:vAlign w:val="center"/>
          </w:tcPr>
          <w:p w14:paraId="3E4CADAB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BA36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A0E42C3">
            <w:pPr>
              <w:jc w:val="center"/>
              <w:rPr>
                <w:rFonts w:hint="default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577" w:type="dxa"/>
            <w:noWrap w:val="0"/>
            <w:vAlign w:val="top"/>
          </w:tcPr>
          <w:p w14:paraId="58924B9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D9F9B0D">
            <w:pPr>
              <w:jc w:val="both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第四十四章 自定义调度策略设计</w:t>
            </w:r>
          </w:p>
        </w:tc>
        <w:tc>
          <w:tcPr>
            <w:tcW w:w="1102" w:type="dxa"/>
            <w:noWrap w:val="0"/>
            <w:vAlign w:val="center"/>
          </w:tcPr>
          <w:p w14:paraId="43EC6662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81F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FC2075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577" w:type="dxa"/>
            <w:noWrap w:val="0"/>
            <w:vAlign w:val="top"/>
          </w:tcPr>
          <w:p w14:paraId="7F4C69F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F89DECB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第四十五章 Hadoop安全体系与Kerberos原理</w:t>
            </w:r>
          </w:p>
        </w:tc>
        <w:tc>
          <w:tcPr>
            <w:tcW w:w="1102" w:type="dxa"/>
            <w:noWrap w:val="0"/>
            <w:vAlign w:val="center"/>
          </w:tcPr>
          <w:p w14:paraId="5DD6D978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6181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71D458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577" w:type="dxa"/>
            <w:noWrap w:val="0"/>
            <w:vAlign w:val="top"/>
          </w:tcPr>
          <w:p w14:paraId="4026B8C2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46ADCD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第四十六章 权限配置与角色授权</w:t>
            </w:r>
          </w:p>
        </w:tc>
        <w:tc>
          <w:tcPr>
            <w:tcW w:w="1102" w:type="dxa"/>
            <w:noWrap w:val="0"/>
            <w:vAlign w:val="center"/>
          </w:tcPr>
          <w:p w14:paraId="6A4D143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9B2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63F3EE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577" w:type="dxa"/>
            <w:noWrap w:val="0"/>
            <w:vAlign w:val="top"/>
          </w:tcPr>
          <w:p w14:paraId="5C1293FE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67DE4C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第四十七章 Hive基础语法与数据加载</w:t>
            </w:r>
          </w:p>
        </w:tc>
        <w:tc>
          <w:tcPr>
            <w:tcW w:w="1102" w:type="dxa"/>
            <w:noWrap w:val="0"/>
            <w:vAlign w:val="center"/>
          </w:tcPr>
          <w:p w14:paraId="59859A4F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D355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91520D4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577" w:type="dxa"/>
            <w:noWrap w:val="0"/>
            <w:vAlign w:val="top"/>
          </w:tcPr>
          <w:p w14:paraId="5943A4B1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BDC6413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第四十八章 Hive分区表与DDL/DML操作</w:t>
            </w:r>
          </w:p>
        </w:tc>
        <w:tc>
          <w:tcPr>
            <w:tcW w:w="1102" w:type="dxa"/>
            <w:noWrap w:val="0"/>
            <w:vAlign w:val="center"/>
          </w:tcPr>
          <w:p w14:paraId="227B174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30F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A5F1F2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577" w:type="dxa"/>
            <w:noWrap w:val="0"/>
            <w:vAlign w:val="top"/>
          </w:tcPr>
          <w:p w14:paraId="05E7C226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3205DD8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第四十九章 HBase架构与列式存储模型</w:t>
            </w:r>
          </w:p>
        </w:tc>
        <w:tc>
          <w:tcPr>
            <w:tcW w:w="1102" w:type="dxa"/>
            <w:noWrap w:val="0"/>
            <w:vAlign w:val="center"/>
          </w:tcPr>
          <w:p w14:paraId="27AF5F8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B10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1D7BF70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577" w:type="dxa"/>
            <w:noWrap w:val="0"/>
            <w:vAlign w:val="top"/>
          </w:tcPr>
          <w:p w14:paraId="1C094BB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34DC22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第五十章 HBase搭建与数据模型理解</w:t>
            </w:r>
          </w:p>
        </w:tc>
        <w:tc>
          <w:tcPr>
            <w:tcW w:w="1102" w:type="dxa"/>
            <w:noWrap w:val="0"/>
            <w:vAlign w:val="center"/>
          </w:tcPr>
          <w:p w14:paraId="54EE7A04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E3E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7B58FB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577" w:type="dxa"/>
            <w:noWrap w:val="0"/>
            <w:vAlign w:val="top"/>
          </w:tcPr>
          <w:p w14:paraId="1BA4E71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8BAC41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第五十一章 Flume采集流程与配置</w:t>
            </w:r>
          </w:p>
        </w:tc>
        <w:tc>
          <w:tcPr>
            <w:tcW w:w="1102" w:type="dxa"/>
            <w:noWrap w:val="0"/>
            <w:vAlign w:val="center"/>
          </w:tcPr>
          <w:p w14:paraId="755D57A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A1D8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B069F0D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577" w:type="dxa"/>
            <w:noWrap w:val="0"/>
            <w:vAlign w:val="top"/>
          </w:tcPr>
          <w:p w14:paraId="7720B057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B9D7A60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第五十二章 采集到HDFS与Kafka整合</w:t>
            </w:r>
          </w:p>
        </w:tc>
        <w:tc>
          <w:tcPr>
            <w:tcW w:w="1102" w:type="dxa"/>
            <w:noWrap w:val="0"/>
            <w:vAlign w:val="center"/>
          </w:tcPr>
          <w:p w14:paraId="35A1CD4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986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3C8E607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577" w:type="dxa"/>
            <w:noWrap w:val="0"/>
            <w:vAlign w:val="top"/>
          </w:tcPr>
          <w:p w14:paraId="16882CC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E61B56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第五十三章 Sqoop导入导出配置与实操</w:t>
            </w:r>
          </w:p>
        </w:tc>
        <w:tc>
          <w:tcPr>
            <w:tcW w:w="1102" w:type="dxa"/>
            <w:noWrap w:val="0"/>
            <w:vAlign w:val="center"/>
          </w:tcPr>
          <w:p w14:paraId="3A4AD172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42D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6E28FE23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77" w:type="dxa"/>
            <w:noWrap w:val="0"/>
            <w:vAlign w:val="top"/>
          </w:tcPr>
          <w:p w14:paraId="61D36D4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53A5759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第五十四章 数据同步实战案例</w:t>
            </w:r>
          </w:p>
        </w:tc>
        <w:tc>
          <w:tcPr>
            <w:tcW w:w="1102" w:type="dxa"/>
            <w:noWrap w:val="0"/>
            <w:vAlign w:val="center"/>
          </w:tcPr>
          <w:p w14:paraId="5059C84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1E5F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2C1063D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577" w:type="dxa"/>
            <w:noWrap w:val="0"/>
            <w:vAlign w:val="top"/>
          </w:tcPr>
          <w:p w14:paraId="1F062950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C267D65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第五十五章 数据清洗流程设计</w:t>
            </w:r>
          </w:p>
        </w:tc>
        <w:tc>
          <w:tcPr>
            <w:tcW w:w="1102" w:type="dxa"/>
            <w:noWrap w:val="0"/>
            <w:vAlign w:val="center"/>
          </w:tcPr>
          <w:p w14:paraId="42CE91D6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2006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58BBF001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577" w:type="dxa"/>
            <w:noWrap w:val="0"/>
            <w:vAlign w:val="top"/>
          </w:tcPr>
          <w:p w14:paraId="7E9AABB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A1D316C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第五十六章 项目流程回顾与Q&amp;A</w:t>
            </w:r>
          </w:p>
        </w:tc>
        <w:tc>
          <w:tcPr>
            <w:tcW w:w="1102" w:type="dxa"/>
            <w:noWrap w:val="0"/>
            <w:vAlign w:val="center"/>
          </w:tcPr>
          <w:p w14:paraId="1EBCA3F1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8C8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45C56F8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577" w:type="dxa"/>
            <w:noWrap w:val="0"/>
            <w:vAlign w:val="top"/>
          </w:tcPr>
          <w:p w14:paraId="05B4AC54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471C8056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第五十七章 小组项目选题与架构设计</w:t>
            </w:r>
          </w:p>
        </w:tc>
        <w:tc>
          <w:tcPr>
            <w:tcW w:w="1102" w:type="dxa"/>
            <w:noWrap w:val="0"/>
            <w:vAlign w:val="center"/>
          </w:tcPr>
          <w:p w14:paraId="4EA6507D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3F51A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D4BCEDE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577" w:type="dxa"/>
            <w:noWrap w:val="0"/>
            <w:vAlign w:val="top"/>
          </w:tcPr>
          <w:p w14:paraId="54A25373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66FEA3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第五十八章 项目开发部署与测试</w:t>
            </w:r>
          </w:p>
        </w:tc>
        <w:tc>
          <w:tcPr>
            <w:tcW w:w="1102" w:type="dxa"/>
            <w:noWrap w:val="0"/>
            <w:vAlign w:val="center"/>
          </w:tcPr>
          <w:p w14:paraId="0F2604FA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67D2E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1AFE94F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577" w:type="dxa"/>
            <w:noWrap w:val="0"/>
            <w:vAlign w:val="top"/>
          </w:tcPr>
          <w:p w14:paraId="6315DDCA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998A022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第五十九章 学生项目展示与答辩</w:t>
            </w:r>
          </w:p>
        </w:tc>
        <w:tc>
          <w:tcPr>
            <w:tcW w:w="1102" w:type="dxa"/>
            <w:noWrap w:val="0"/>
            <w:vAlign w:val="center"/>
          </w:tcPr>
          <w:p w14:paraId="5B8FBD23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127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7BA20E58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577" w:type="dxa"/>
            <w:noWrap w:val="0"/>
            <w:vAlign w:val="top"/>
          </w:tcPr>
          <w:p w14:paraId="0D48A3DC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9005424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第六十章 教师点评与评分</w:t>
            </w:r>
          </w:p>
        </w:tc>
        <w:tc>
          <w:tcPr>
            <w:tcW w:w="1102" w:type="dxa"/>
            <w:noWrap w:val="0"/>
            <w:vAlign w:val="center"/>
          </w:tcPr>
          <w:p w14:paraId="16576815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4227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A6D082A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577" w:type="dxa"/>
            <w:noWrap w:val="0"/>
            <w:vAlign w:val="top"/>
          </w:tcPr>
          <w:p w14:paraId="48C961E8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5C1DF37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第六十一章 课程总结与学习反馈</w:t>
            </w:r>
          </w:p>
        </w:tc>
        <w:tc>
          <w:tcPr>
            <w:tcW w:w="1102" w:type="dxa"/>
            <w:noWrap w:val="0"/>
            <w:vAlign w:val="center"/>
          </w:tcPr>
          <w:p w14:paraId="7D227E1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34A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7B1D2E5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577" w:type="dxa"/>
            <w:noWrap w:val="0"/>
            <w:vAlign w:val="top"/>
          </w:tcPr>
          <w:p w14:paraId="0B86CDDD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7596EBA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第六十二章 扩展技术与就业方向</w:t>
            </w:r>
          </w:p>
        </w:tc>
        <w:tc>
          <w:tcPr>
            <w:tcW w:w="1102" w:type="dxa"/>
            <w:noWrap w:val="0"/>
            <w:vAlign w:val="center"/>
          </w:tcPr>
          <w:p w14:paraId="07AE1308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57645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0B0772C0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577" w:type="dxa"/>
            <w:noWrap w:val="0"/>
            <w:vAlign w:val="top"/>
          </w:tcPr>
          <w:p w14:paraId="1FC732D5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6E458B7A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第六十三章 实践项目启动与计划</w:t>
            </w:r>
          </w:p>
        </w:tc>
        <w:tc>
          <w:tcPr>
            <w:tcW w:w="1102" w:type="dxa"/>
            <w:noWrap w:val="0"/>
            <w:vAlign w:val="center"/>
          </w:tcPr>
          <w:p w14:paraId="3F603487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2D90C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18" w:type="dxa"/>
            <w:noWrap w:val="0"/>
            <w:vAlign w:val="top"/>
          </w:tcPr>
          <w:p w14:paraId="3A0555A9">
            <w:pPr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577" w:type="dxa"/>
            <w:noWrap w:val="0"/>
            <w:vAlign w:val="top"/>
          </w:tcPr>
          <w:p w14:paraId="4F48002F">
            <w:pPr>
              <w:rPr>
                <w:b/>
                <w:sz w:val="28"/>
                <w:szCs w:val="28"/>
              </w:rPr>
            </w:pPr>
          </w:p>
        </w:tc>
        <w:tc>
          <w:tcPr>
            <w:tcW w:w="5936" w:type="dxa"/>
            <w:noWrap w:val="0"/>
            <w:vAlign w:val="center"/>
          </w:tcPr>
          <w:p w14:paraId="245BACDF">
            <w:pPr>
              <w:jc w:val="both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第六十四章 项目总结与未来展望</w:t>
            </w:r>
          </w:p>
        </w:tc>
        <w:tc>
          <w:tcPr>
            <w:tcW w:w="1102" w:type="dxa"/>
            <w:noWrap w:val="0"/>
            <w:vAlign w:val="center"/>
          </w:tcPr>
          <w:p w14:paraId="5040388C">
            <w:pPr>
              <w:jc w:val="center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</w:tr>
      <w:tr w14:paraId="0888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818" w:type="dxa"/>
            <w:noWrap w:val="0"/>
            <w:vAlign w:val="top"/>
          </w:tcPr>
          <w:p w14:paraId="1FFA4B29">
            <w:pPr>
              <w:rPr>
                <w:rFonts w:hint="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说明</w:t>
            </w:r>
          </w:p>
        </w:tc>
        <w:tc>
          <w:tcPr>
            <w:tcW w:w="8615" w:type="dxa"/>
            <w:gridSpan w:val="3"/>
            <w:noWrap w:val="0"/>
            <w:vAlign w:val="top"/>
          </w:tcPr>
          <w:p w14:paraId="65BF5041">
            <w:pPr>
              <w:rPr>
                <w:b/>
                <w:sz w:val="28"/>
                <w:szCs w:val="28"/>
              </w:rPr>
            </w:pPr>
          </w:p>
        </w:tc>
      </w:tr>
    </w:tbl>
    <w:p w14:paraId="7E074DEC">
      <w:pPr>
        <w:rPr>
          <w:rFonts w:hint="eastAsia"/>
          <w:sz w:val="24"/>
        </w:rPr>
      </w:pPr>
    </w:p>
    <w:p w14:paraId="671F857D">
      <w:pPr>
        <w:jc w:val="both"/>
        <w:rPr>
          <w:rFonts w:hint="eastAsia" w:asciiTheme="minorEastAsia" w:hAnsiTheme="minorEastAsia"/>
          <w:b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865F9"/>
    <w:multiLevelType w:val="multilevel"/>
    <w:tmpl w:val="0EF865F9"/>
    <w:lvl w:ilvl="0" w:tentative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A3"/>
    <w:rsid w:val="000815F8"/>
    <w:rsid w:val="000873A9"/>
    <w:rsid w:val="00151D31"/>
    <w:rsid w:val="00163C77"/>
    <w:rsid w:val="002F3F0B"/>
    <w:rsid w:val="00395D61"/>
    <w:rsid w:val="003F0216"/>
    <w:rsid w:val="00466B79"/>
    <w:rsid w:val="00525D1C"/>
    <w:rsid w:val="0055078F"/>
    <w:rsid w:val="005A28B9"/>
    <w:rsid w:val="005A33C1"/>
    <w:rsid w:val="006731CE"/>
    <w:rsid w:val="00687CC4"/>
    <w:rsid w:val="007267DB"/>
    <w:rsid w:val="007B0E21"/>
    <w:rsid w:val="008D4032"/>
    <w:rsid w:val="0094576D"/>
    <w:rsid w:val="00973227"/>
    <w:rsid w:val="009E1269"/>
    <w:rsid w:val="00A05C6F"/>
    <w:rsid w:val="00A45022"/>
    <w:rsid w:val="00B06BE3"/>
    <w:rsid w:val="00B36380"/>
    <w:rsid w:val="00B4291F"/>
    <w:rsid w:val="00BB1EB0"/>
    <w:rsid w:val="00C66EAF"/>
    <w:rsid w:val="00CD6987"/>
    <w:rsid w:val="00CE30A3"/>
    <w:rsid w:val="00D016A1"/>
    <w:rsid w:val="00D56462"/>
    <w:rsid w:val="00D75612"/>
    <w:rsid w:val="00D83922"/>
    <w:rsid w:val="00E205E7"/>
    <w:rsid w:val="00F2734A"/>
    <w:rsid w:val="00FD38D5"/>
    <w:rsid w:val="07911B56"/>
    <w:rsid w:val="088210AA"/>
    <w:rsid w:val="0F281742"/>
    <w:rsid w:val="158E0D2D"/>
    <w:rsid w:val="24223BD5"/>
    <w:rsid w:val="2A534E95"/>
    <w:rsid w:val="33C344D3"/>
    <w:rsid w:val="33F37F1B"/>
    <w:rsid w:val="34EF098B"/>
    <w:rsid w:val="35133001"/>
    <w:rsid w:val="3BA6688F"/>
    <w:rsid w:val="3E2D6B7E"/>
    <w:rsid w:val="475D1EA0"/>
    <w:rsid w:val="4B7B2EA8"/>
    <w:rsid w:val="4ED15719"/>
    <w:rsid w:val="4F844CD5"/>
    <w:rsid w:val="4FFDA9B6"/>
    <w:rsid w:val="562820C6"/>
    <w:rsid w:val="57800319"/>
    <w:rsid w:val="590E504B"/>
    <w:rsid w:val="596C5727"/>
    <w:rsid w:val="5A3F5A4F"/>
    <w:rsid w:val="5C225659"/>
    <w:rsid w:val="5F546543"/>
    <w:rsid w:val="62210161"/>
    <w:rsid w:val="65745247"/>
    <w:rsid w:val="68FF645F"/>
    <w:rsid w:val="6E5813AF"/>
    <w:rsid w:val="70A15B5A"/>
    <w:rsid w:val="715F6324"/>
    <w:rsid w:val="72220B78"/>
    <w:rsid w:val="726E5EF8"/>
    <w:rsid w:val="752B683B"/>
    <w:rsid w:val="7BB10438"/>
    <w:rsid w:val="7C8932DF"/>
    <w:rsid w:val="EBCEC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7</Pages>
  <Words>1045</Words>
  <Characters>1090</Characters>
  <Lines>1</Lines>
  <Paragraphs>1</Paragraphs>
  <TotalTime>3</TotalTime>
  <ScaleCrop>false</ScaleCrop>
  <LinksUpToDate>false</LinksUpToDate>
  <CharactersWithSpaces>1225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2025-03-19T19:49:00Z</dcterms:created>
  <dc:creator>Windows User</dc:creator>
  <cp:lastModifiedBy>零→壹</cp:lastModifiedBy>
  <cp:lastPrinted>2025-03-19T20:25:00Z</cp:lastPrinted>
  <dcterms:modified xsi:type="dcterms:W3CDTF">2025-06-27T11:27:24Z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eyJoZGlkIjoiMTZjNWRhZTI1NmE0NjY5YThkNzQ3MGRmNGMzYWJjZDAiLCJ1c2VySWQiOiIyMjk5NzI1ODEifQ==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C57403FA19EC41EDA46D07AC9CE173D9_13</vt:lpwstr>
  </property>
</Properties>
</file>