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学生项目展示与答辩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E8621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1.实际数据采集与清洗任务规划</w:t>
            </w:r>
          </w:p>
          <w:p w14:paraId="10EC87D6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2.分布式数据处理流程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1D44B3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能制作专业级项目演示PPT（含技术架构图/数据看板/成果对比）</w:t>
            </w:r>
          </w:p>
          <w:p w14:paraId="73E08AA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能运用STAR法则清晰阐述项目亮点与难点</w:t>
            </w:r>
          </w:p>
          <w:p w14:paraId="572EE9C1">
            <w:pPr>
              <w:bidi w:val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能针对性应答技术质疑（如性能瓶颈/安全风险）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9E63089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培养成果包装意识（技术价值→业务价值转换）</w:t>
            </w:r>
          </w:p>
          <w:p w14:paraId="3CF8595B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提升抗压表达能力（应对尖锐提问的技巧）</w:t>
            </w:r>
          </w:p>
          <w:p w14:paraId="273C47D0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强化知识产权意识（代码/数据引用规范）</w:t>
            </w:r>
          </w:p>
          <w:p w14:paraId="0977F00D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025E976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【重点】</w:t>
            </w:r>
          </w:p>
          <w:p w14:paraId="7FF3EE72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演示材料设计（黄金8分钟结构）</w:t>
            </w:r>
          </w:p>
          <w:p w14:paraId="1F8A612A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答辩话术训练（技术问题→业务价值的转换）</w:t>
            </w:r>
          </w:p>
          <w:p w14:paraId="569500D3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3.评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分标准解析（创新性30%+技术深度30%+表达20%+文档20%）</w:t>
            </w:r>
          </w:p>
          <w:p w14:paraId="2A8F0B4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jc w:val="left"/>
            </w:pPr>
            <w:r>
              <w:rPr>
                <w:rFonts w:hint="eastAsia"/>
                <w:lang w:eastAsia="zh-CN"/>
              </w:rPr>
              <w:t>【</w:t>
            </w:r>
            <w:r>
              <w:rPr>
                <w:rFonts w:hint="eastAsia"/>
                <w:lang w:val="en-US" w:eastAsia="zh-CN"/>
              </w:rPr>
              <w:t>难点</w:t>
            </w:r>
            <w:r>
              <w:rPr>
                <w:rFonts w:hint="eastAsia"/>
                <w:lang w:eastAsia="zh-CN"/>
              </w:rPr>
              <w:t>】</w:t>
            </w:r>
          </w:p>
          <w:p w14:paraId="75F14CB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避免"技术自嗨"（让非技术评委理解价值）</w:t>
            </w:r>
          </w:p>
          <w:p w14:paraId="5EAFEEE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时间精准控制（不超时/不冷场）</w:t>
            </w:r>
          </w:p>
          <w:p w14:paraId="6C758D0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突发状况应对（演示环境故障处理）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832485</wp:posOffset>
                      </wp:positionH>
                      <wp:positionV relativeFrom="paragraph">
                        <wp:posOffset>144145</wp:posOffset>
                      </wp:positionV>
                      <wp:extent cx="609600" cy="69786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69786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0FDC3829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 w:val="0"/>
                                    <w:spacing w:before="0" w:beforeAutospacing="0" w:after="0" w:afterAutospacing="0"/>
                                    <w:ind w:left="0" w:right="0" w:firstLine="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bdr w:val="none" w:color="auto" w:sz="0" w:space="0"/>
                                    </w:rPr>
                                    <w:t>项目答辩生存指南</w:t>
                                  </w:r>
                                </w:p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5.55pt;margin-top:11.35pt;height:54.95pt;width:48pt;z-index:251672576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0FDC3829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 w:val="0"/>
                              <w:spacing w:before="0" w:beforeAutospacing="0" w:after="0" w:afterAutospacing="0"/>
                              <w:ind w:left="0" w:right="0" w:firstLine="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bdr w:val="none" w:color="auto" w:sz="0" w:space="0"/>
                              </w:rPr>
                              <w:t>项目答辩生存指南</w:t>
                            </w:r>
                          </w:p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35BED9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jc w:val="both"/>
                                    <w:textAlignment w:val="center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1.实际数据采集与清洗任务规划</w:t>
                                  </w:r>
                                </w:p>
                                <w:p w14:paraId="0975D28D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69504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A35BED9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both"/>
                              <w:textAlignment w:val="center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1.实际数据采集与清洗任务规划</w:t>
                            </w:r>
                          </w:p>
                          <w:p w14:paraId="0975D28D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2.分布式数据处理流程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0528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2.分布式数据处理流程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1888490</wp:posOffset>
                      </wp:positionH>
                      <wp:positionV relativeFrom="paragraph">
                        <wp:posOffset>118110</wp:posOffset>
                      </wp:positionV>
                      <wp:extent cx="2915285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1528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参与项目评价与评分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7pt;margin-top:9.3pt;height:21pt;width:229.55pt;z-index:251671552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参与项目评价与评分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利用本节所学内容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项目展示与答辩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124B239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引导学生思考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如果你的项目演示到一半，评委突然说‘听不懂技术术语’，你会如何调整表达方式？</w:t>
            </w:r>
          </w:p>
          <w:p w14:paraId="32CC17B7">
            <w:pPr>
              <w:bidi w:val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激发兴趣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假设你是字节跳动路演现场，如何用1分钟让张一鸣记住你的项目？</w:t>
            </w:r>
          </w:p>
          <w:p w14:paraId="7638537F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6C595F82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演示设计黄金结构</w:t>
            </w:r>
          </w:p>
          <w:p w14:paraId="70CB9086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0-2分钟：痛点共鸣（展示真实用户调研数据）</w:t>
            </w:r>
          </w:p>
          <w:p w14:paraId="6FC0A210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3-5分钟：解决方案（架构图+关键技术创新点）</w:t>
            </w:r>
          </w:p>
          <w:p w14:paraId="01D1A92E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6-7分钟：成果证明（对比实验/用户增长曲线）</w:t>
            </w:r>
          </w:p>
          <w:p w14:paraId="75243354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8分钟：商业价值（成本节约/效率提升量化）</w:t>
            </w:r>
          </w:p>
          <w:p w14:paraId="157167B8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答辩应答策略</w:t>
            </w:r>
          </w:p>
          <w:p w14:paraId="6CC17529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技术问题：先简后繁（"核心是...具体实现..."）</w:t>
            </w:r>
          </w:p>
          <w:p w14:paraId="214C239C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商业问题：数据支撑（"我们的DAU月增30%"）</w:t>
            </w:r>
          </w:p>
          <w:p w14:paraId="55021BA5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刁难问题：转守为攻（"这正是我们下阶段要优化的..."）</w:t>
            </w:r>
          </w:p>
          <w:p w14:paraId="13A8DA8D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常见扣分点</w:t>
            </w:r>
          </w:p>
          <w:p w14:paraId="0B9638D5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超时（每超1分钟扣10%）</w:t>
            </w:r>
          </w:p>
          <w:p w14:paraId="27714006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文档不全（缺API文档/测试报告）</w:t>
            </w:r>
          </w:p>
          <w:p w14:paraId="3D09BE7F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演示事故（依赖网络未准备离线方案）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2DD30B5D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实战1：PPT极简改造</w:t>
            </w:r>
          </w:p>
          <w:p w14:paraId="0E1FBDA5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Before:  - 第5页：用了Spring Cloud框架  </w:t>
            </w:r>
          </w:p>
          <w:p w14:paraId="2055F338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After:  - 第5页：服务响应时间从2s→200ms（架构对比图）  </w:t>
            </w:r>
          </w:p>
          <w:p w14:paraId="7367C019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实战2：话术转换训练</w:t>
            </w:r>
          </w:p>
          <w:p w14:paraId="06E0AC26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技术表述："使用Redis缓存减轻数据库压力"  </w:t>
            </w:r>
          </w:p>
          <w:p w14:paraId="04023C63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业务表述："让用户查询速度提升5倍，留存率提高20%"  </w:t>
            </w:r>
          </w:p>
          <w:p w14:paraId="07D7576A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实战3：故障模拟演练</w:t>
            </w:r>
          </w:p>
          <w:p w14:paraId="797D52D4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教师突然断电，学生需：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① 口头继续描述架构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② 用白板手绘核心流程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③ 引导评委查看纸质文档</w:t>
            </w:r>
          </w:p>
          <w:p w14:paraId="48129EFE"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spacing w:before="0" w:beforeAutospacing="1" w:after="0" w:afterAutospacing="1"/>
              <w:ind w:left="0" w:hanging="360"/>
              <w:rPr>
                <w:sz w:val="24"/>
                <w:szCs w:val="24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本节课通过"真实路演录像分析+模拟答辩"双模式，重点突破三大能力：① 技术成果可视化包装 ② 精准捕捉评委关注点 ③ 突发状况优雅应对。关键口诀："1页PPT讲清1个价值，1分钟回答锁定1个重点"。需特别注意：所有技术陈述必须配套用户价值数据（如"算法准确率提升→投诉率下降"）。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第59章实训1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566960">
            <w:pPr>
              <w:numPr>
                <w:numId w:val="0"/>
              </w:numPr>
              <w:bidi w:val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color w:val="auto"/>
                <w:sz w:val="24"/>
                <w:szCs w:val="24"/>
              </w:rPr>
              <w:t>渐进展开</w:t>
            </w:r>
          </w:p>
          <w:p w14:paraId="32821132">
            <w:pPr>
              <w:numPr>
                <w:numId w:val="0"/>
              </w:numPr>
              <w:bidi w:val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2.颜色管理</w:t>
            </w:r>
          </w:p>
          <w:p w14:paraId="6E92F620">
            <w:pPr>
              <w:numPr>
                <w:numId w:val="0"/>
              </w:numPr>
              <w:bidi w:val="0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3.实景演练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本次课程通过"毒舌评委"角色扮演有效提升了学生应变能力，但部分组在技术→价值转换上仍显生硬，下次需增加"电梯演讲"速成训练。时间控制环节，40%学生未掌握"暂停提示法"（如"由于时间关系，我简要说明..."），需强化计时器使用。积极现象：学生自发整理《答辩黑话词典》（如"很有创意"≈"不实用"）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urlz MT">
    <w:panose1 w:val="04040404050702020202"/>
    <w:charset w:val="00"/>
    <w:family w:val="auto"/>
    <w:pitch w:val="default"/>
    <w:sig w:usb0="00000003" w:usb1="00000000" w:usb2="00000000" w:usb3="00000000" w:csb0="20000001" w:csb1="00000000"/>
  </w:font>
  <w:font w:name="Segoe UI Historic"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Rockwell Extra Bold">
    <w:panose1 w:val="02060903040505020403"/>
    <w:charset w:val="00"/>
    <w:family w:val="auto"/>
    <w:pitch w:val="default"/>
    <w:sig w:usb0="00000003" w:usb1="00000000" w:usb2="00000000" w:usb3="00000000" w:csb0="20000001" w:csb1="00000000"/>
  </w:font>
  <w:font w:name="Rockwell Condensed">
    <w:panose1 w:val="02060603050405020104"/>
    <w:charset w:val="00"/>
    <w:family w:val="auto"/>
    <w:pitch w:val="default"/>
    <w:sig w:usb0="00000003" w:usb1="00000000" w:usb2="00000000" w:usb3="00000000" w:csb0="20000001" w:csb1="00000000"/>
  </w:font>
  <w:font w:name="Sans Serif Collection">
    <w:panose1 w:val="020B0502040504020204"/>
    <w:charset w:val="00"/>
    <w:family w:val="auto"/>
    <w:pitch w:val="default"/>
    <w:sig w:usb0="E857A3FF" w:usb1="4200605F" w:usb2="29100029" w:usb3="007B0631" w:csb0="000001DF" w:csb1="00000000"/>
  </w:font>
  <w:font w:name="Segoe UI Variable Display">
    <w:panose1 w:val="00000000000000000000"/>
    <w:charset w:val="00"/>
    <w:family w:val="auto"/>
    <w:pitch w:val="default"/>
    <w:sig w:usb0="A00002FF" w:usb1="0000000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2DA9D66"/>
    <w:multiLevelType w:val="multilevel"/>
    <w:tmpl w:val="92DA9D6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087D3F15"/>
    <w:multiLevelType w:val="multilevel"/>
    <w:tmpl w:val="087D3F1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1F2587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DDE404C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1127</Words>
  <Characters>1327</Characters>
  <Lines>21</Lines>
  <Paragraphs>6</Paragraphs>
  <TotalTime>8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2025-06-25T16:20:36Z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D367320139B84605B5822BC8B6BC347B_13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