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4C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90"/>
        <w:gridCol w:w="1433"/>
        <w:gridCol w:w="1244"/>
        <w:gridCol w:w="709"/>
        <w:gridCol w:w="1275"/>
        <w:gridCol w:w="851"/>
        <w:gridCol w:w="425"/>
      </w:tblGrid>
      <w:tr w14:paraId="00B44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3CBEE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05D1E9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单元9.3 事件机制</w:t>
            </w:r>
          </w:p>
        </w:tc>
        <w:tc>
          <w:tcPr>
            <w:tcW w:w="709" w:type="dxa"/>
            <w:vAlign w:val="center"/>
          </w:tcPr>
          <w:p w14:paraId="64DF43D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CDA67D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3D35F8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D446B0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4A42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4AFA1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EAC41B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587E95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掌握事件对象</w:t>
            </w:r>
          </w:p>
          <w:p w14:paraId="4BED6DE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掌握阻止默认行为的属性以及方法</w:t>
            </w:r>
          </w:p>
          <w:p w14:paraId="5CD8F51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掌握事件对象常用的属性</w:t>
            </w:r>
          </w:p>
        </w:tc>
      </w:tr>
      <w:tr w14:paraId="068B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576EC6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2B73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8DB206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什么是事件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对象</w:t>
            </w:r>
          </w:p>
          <w:p w14:paraId="7A6B915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阻止默认行为的属性以及方法</w:t>
            </w:r>
          </w:p>
          <w:p w14:paraId="05CEDA23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事件对象常用的属性</w:t>
            </w:r>
          </w:p>
        </w:tc>
      </w:tr>
      <w:tr w14:paraId="334C1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EFBBD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E68B89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9DC434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621E0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A8D7E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86116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4B1D32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3F9E11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掌握事件对象常用的属性</w:t>
            </w:r>
          </w:p>
          <w:p w14:paraId="5E9FEDD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BD42D2F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掌握阻止默认行为的属性以及方法</w:t>
            </w:r>
          </w:p>
        </w:tc>
      </w:tr>
      <w:tr w14:paraId="1A3B9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D58A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53D69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DF3E9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C2AECE1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事件机制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2E7DE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2FD2BE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D2B740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786DE1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77A57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49A2E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EF5CF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B7D2A8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4E543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C2AECE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52E7DE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2FD2BE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D2B740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786DE1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D77A57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949A2EB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AEF5CF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B7D2A8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24E543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8A320C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4E2E0A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87B2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事件对象常用的属性</w:t>
                                  </w:r>
                                </w:p>
                                <w:p w14:paraId="57D6698B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Target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、currentTarget、type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D387B2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事件对象常用的属性</w:t>
                            </w:r>
                          </w:p>
                          <w:p w14:paraId="57D6698B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Target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、currentTarget、type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4B2DFF5">
            <w:pPr>
              <w:rPr>
                <w:rFonts w:ascii="宋体" w:hAnsi="宋体"/>
                <w:sz w:val="24"/>
              </w:rPr>
            </w:pPr>
          </w:p>
          <w:p w14:paraId="12366CEE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3E683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什么是事件对象</w:t>
                                  </w:r>
                                </w:p>
                                <w:p w14:paraId="53124F12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在执行响应函数前由浏览器创建的对象，该对象封装了本次事件的基本信息以及处理事件流的方法。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E3E6839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什么是事件对象</w:t>
                            </w:r>
                          </w:p>
                          <w:p w14:paraId="53124F12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在执行响应函数前由浏览器创建的对象，该对象封装了本次事件的基本信息以及处理事件流的方法。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4A2186">
            <w:pPr>
              <w:rPr>
                <w:rFonts w:ascii="宋体" w:hAnsi="宋体"/>
                <w:sz w:val="24"/>
              </w:rPr>
            </w:pPr>
          </w:p>
          <w:p w14:paraId="65E99BE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9C4FF0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9B80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3、阻止默认行为的属性以及方法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79B80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3、阻止默认行为的属性以及方法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BB2B1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1829C4C">
            <w:pPr>
              <w:rPr>
                <w:rFonts w:ascii="宋体" w:hAnsi="宋体"/>
                <w:sz w:val="24"/>
              </w:rPr>
            </w:pPr>
          </w:p>
          <w:p w14:paraId="24701F4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F12C3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216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D9CC7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776BBF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DAA9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9D634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73B3C0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2E4C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2CB49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90" w:type="dxa"/>
            <w:vAlign w:val="center"/>
          </w:tcPr>
          <w:p w14:paraId="57B0DC68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433" w:type="dxa"/>
            <w:vAlign w:val="center"/>
          </w:tcPr>
          <w:p w14:paraId="2871D4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504" w:type="dxa"/>
            <w:gridSpan w:val="5"/>
            <w:vAlign w:val="center"/>
          </w:tcPr>
          <w:p w14:paraId="4A0D9623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4F1131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13C3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282E7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75D152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69D65549">
      <w:pPr>
        <w:jc w:val="center"/>
        <w:rPr>
          <w:b/>
          <w:sz w:val="24"/>
          <w:szCs w:val="36"/>
        </w:rPr>
      </w:pPr>
    </w:p>
    <w:p w14:paraId="3B1335D4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7F6B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549B0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10D8C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6DC2E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0F8F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F39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8953CEF">
            <w:pPr>
              <w:spacing w:line="400" w:lineRule="exact"/>
              <w:jc w:val="center"/>
              <w:rPr>
                <w:sz w:val="24"/>
              </w:rPr>
            </w:pPr>
          </w:p>
          <w:p w14:paraId="324A46FA">
            <w:pPr>
              <w:spacing w:line="400" w:lineRule="exact"/>
              <w:jc w:val="center"/>
              <w:rPr>
                <w:sz w:val="24"/>
              </w:rPr>
            </w:pPr>
          </w:p>
          <w:p w14:paraId="53914FD1">
            <w:pPr>
              <w:spacing w:line="400" w:lineRule="exact"/>
              <w:rPr>
                <w:rFonts w:hint="eastAsia"/>
                <w:sz w:val="24"/>
              </w:rPr>
            </w:pPr>
          </w:p>
          <w:p w14:paraId="5504667C">
            <w:pPr>
              <w:spacing w:line="400" w:lineRule="exact"/>
              <w:rPr>
                <w:sz w:val="24"/>
              </w:rPr>
            </w:pPr>
          </w:p>
          <w:p w14:paraId="3A00CF59">
            <w:pPr>
              <w:spacing w:line="400" w:lineRule="exact"/>
              <w:jc w:val="center"/>
              <w:rPr>
                <w:sz w:val="24"/>
              </w:rPr>
            </w:pPr>
          </w:p>
          <w:p w14:paraId="2592E094">
            <w:pPr>
              <w:spacing w:line="400" w:lineRule="exact"/>
              <w:jc w:val="center"/>
              <w:rPr>
                <w:sz w:val="24"/>
              </w:rPr>
            </w:pPr>
          </w:p>
          <w:p w14:paraId="2A37E78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0075AB0">
            <w:pPr>
              <w:spacing w:line="400" w:lineRule="exact"/>
              <w:jc w:val="center"/>
              <w:rPr>
                <w:sz w:val="24"/>
              </w:rPr>
            </w:pPr>
          </w:p>
          <w:p w14:paraId="2D30A0E8">
            <w:pPr>
              <w:spacing w:line="400" w:lineRule="exact"/>
              <w:jc w:val="center"/>
              <w:rPr>
                <w:sz w:val="24"/>
              </w:rPr>
            </w:pPr>
          </w:p>
          <w:p w14:paraId="79EE25EB">
            <w:pPr>
              <w:spacing w:line="400" w:lineRule="exact"/>
              <w:jc w:val="center"/>
              <w:rPr>
                <w:sz w:val="24"/>
              </w:rPr>
            </w:pPr>
          </w:p>
          <w:p w14:paraId="4B9F2DFC">
            <w:pPr>
              <w:spacing w:line="400" w:lineRule="exact"/>
              <w:jc w:val="center"/>
              <w:rPr>
                <w:sz w:val="24"/>
              </w:rPr>
            </w:pPr>
          </w:p>
          <w:p w14:paraId="195D71C1">
            <w:pPr>
              <w:spacing w:line="400" w:lineRule="exact"/>
              <w:jc w:val="center"/>
              <w:rPr>
                <w:sz w:val="24"/>
              </w:rPr>
            </w:pPr>
          </w:p>
          <w:p w14:paraId="0BF8FDC1">
            <w:pPr>
              <w:spacing w:line="400" w:lineRule="exact"/>
              <w:jc w:val="center"/>
              <w:rPr>
                <w:sz w:val="24"/>
              </w:rPr>
            </w:pPr>
          </w:p>
          <w:p w14:paraId="1245175A">
            <w:pPr>
              <w:spacing w:line="400" w:lineRule="exact"/>
              <w:jc w:val="center"/>
              <w:rPr>
                <w:sz w:val="24"/>
              </w:rPr>
            </w:pPr>
          </w:p>
          <w:p w14:paraId="76E903CE">
            <w:pPr>
              <w:spacing w:line="400" w:lineRule="exact"/>
              <w:jc w:val="center"/>
              <w:rPr>
                <w:sz w:val="24"/>
              </w:rPr>
            </w:pPr>
          </w:p>
          <w:p w14:paraId="186E557C">
            <w:pPr>
              <w:spacing w:line="400" w:lineRule="exact"/>
              <w:jc w:val="center"/>
              <w:rPr>
                <w:sz w:val="24"/>
              </w:rPr>
            </w:pPr>
          </w:p>
          <w:p w14:paraId="50F1F8E9">
            <w:pPr>
              <w:spacing w:line="400" w:lineRule="exact"/>
              <w:jc w:val="center"/>
              <w:rPr>
                <w:sz w:val="24"/>
              </w:rPr>
            </w:pPr>
          </w:p>
          <w:p w14:paraId="21928F50">
            <w:pPr>
              <w:spacing w:line="400" w:lineRule="exact"/>
              <w:jc w:val="center"/>
              <w:rPr>
                <w:sz w:val="24"/>
              </w:rPr>
            </w:pPr>
          </w:p>
          <w:p w14:paraId="2B373A02">
            <w:pPr>
              <w:spacing w:line="400" w:lineRule="exact"/>
              <w:jc w:val="center"/>
              <w:rPr>
                <w:sz w:val="24"/>
              </w:rPr>
            </w:pPr>
          </w:p>
          <w:p w14:paraId="68C95FA4">
            <w:pPr>
              <w:spacing w:line="400" w:lineRule="exact"/>
              <w:jc w:val="center"/>
              <w:rPr>
                <w:sz w:val="24"/>
              </w:rPr>
            </w:pPr>
          </w:p>
          <w:p w14:paraId="1A32BEA5">
            <w:pPr>
              <w:spacing w:line="400" w:lineRule="exact"/>
              <w:jc w:val="center"/>
              <w:rPr>
                <w:sz w:val="24"/>
              </w:rPr>
            </w:pPr>
          </w:p>
          <w:p w14:paraId="7365A8FC">
            <w:pPr>
              <w:spacing w:line="400" w:lineRule="exact"/>
              <w:jc w:val="center"/>
              <w:rPr>
                <w:sz w:val="24"/>
              </w:rPr>
            </w:pPr>
          </w:p>
          <w:p w14:paraId="30170EBB">
            <w:pPr>
              <w:spacing w:line="400" w:lineRule="exact"/>
              <w:jc w:val="center"/>
              <w:rPr>
                <w:sz w:val="24"/>
              </w:rPr>
            </w:pPr>
          </w:p>
          <w:p w14:paraId="42B16CCD">
            <w:pPr>
              <w:spacing w:line="400" w:lineRule="exact"/>
              <w:jc w:val="center"/>
              <w:rPr>
                <w:sz w:val="24"/>
              </w:rPr>
            </w:pPr>
          </w:p>
          <w:p w14:paraId="7DBE68E3">
            <w:pPr>
              <w:spacing w:line="400" w:lineRule="exact"/>
              <w:jc w:val="center"/>
              <w:rPr>
                <w:sz w:val="24"/>
              </w:rPr>
            </w:pPr>
          </w:p>
          <w:p w14:paraId="62C1DF4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E961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431B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D00E3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8E0A0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A3CFB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F34A3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87E37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3893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C49A6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DF5CFBB">
            <w:pPr>
              <w:spacing w:line="400" w:lineRule="exact"/>
              <w:rPr>
                <w:sz w:val="24"/>
              </w:rPr>
            </w:pPr>
          </w:p>
          <w:p w14:paraId="6F847B13">
            <w:pPr>
              <w:spacing w:line="400" w:lineRule="exact"/>
              <w:rPr>
                <w:sz w:val="24"/>
              </w:rPr>
            </w:pPr>
          </w:p>
          <w:p w14:paraId="7B29787B">
            <w:pPr>
              <w:spacing w:line="400" w:lineRule="exact"/>
              <w:rPr>
                <w:sz w:val="24"/>
              </w:rPr>
            </w:pPr>
          </w:p>
          <w:p w14:paraId="3F8E6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0D6F96A">
            <w:pPr>
              <w:spacing w:line="400" w:lineRule="exact"/>
              <w:rPr>
                <w:sz w:val="24"/>
              </w:rPr>
            </w:pPr>
          </w:p>
          <w:p w14:paraId="617F61CB">
            <w:pPr>
              <w:spacing w:line="400" w:lineRule="exact"/>
              <w:rPr>
                <w:sz w:val="24"/>
              </w:rPr>
            </w:pPr>
          </w:p>
          <w:p w14:paraId="26298C86">
            <w:pPr>
              <w:spacing w:line="400" w:lineRule="exact"/>
              <w:rPr>
                <w:sz w:val="24"/>
              </w:rPr>
            </w:pPr>
          </w:p>
          <w:p w14:paraId="42BEAA29">
            <w:pPr>
              <w:spacing w:line="400" w:lineRule="exact"/>
              <w:rPr>
                <w:sz w:val="24"/>
              </w:rPr>
            </w:pPr>
          </w:p>
          <w:p w14:paraId="34828FFB">
            <w:pPr>
              <w:spacing w:line="400" w:lineRule="exact"/>
              <w:rPr>
                <w:sz w:val="24"/>
              </w:rPr>
            </w:pPr>
          </w:p>
          <w:p w14:paraId="5CF8D4F8">
            <w:pPr>
              <w:spacing w:line="400" w:lineRule="exact"/>
              <w:rPr>
                <w:sz w:val="24"/>
              </w:rPr>
            </w:pPr>
          </w:p>
          <w:p w14:paraId="60388FF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4DA0DBA">
            <w:pPr>
              <w:spacing w:line="400" w:lineRule="exact"/>
              <w:rPr>
                <w:sz w:val="24"/>
              </w:rPr>
            </w:pPr>
          </w:p>
          <w:p w14:paraId="07301A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0C2C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1ADD1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89E7A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AA334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B411D0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EA521A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0605FF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CDF21C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032120AA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什么是事件对象</w:t>
            </w:r>
          </w:p>
          <w:p w14:paraId="4DDB006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事件对象：在执行响应函数前由浏览器创建的对象，该对象封装了本次事件的基本信息以及处理事件流的方法。</w:t>
            </w:r>
          </w:p>
          <w:p w14:paraId="3BDFB99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阻止冒泡及捕获的属性以及方法。</w:t>
            </w:r>
          </w:p>
          <w:p w14:paraId="3A18739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bubbles：获取绑定的事件的方式是否设定了冒泡或捕获（只有使用DOM2级绑定方式是返回true）。Boolean类型</w:t>
            </w:r>
          </w:p>
          <w:p w14:paraId="7289B64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stopPropagation()：在bubbles为true时，阻止继续冒泡或捕获。</w:t>
            </w:r>
          </w:p>
          <w:p w14:paraId="5376975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stopImmediatePropagation()：强制阻止冒泡或捕获。</w:t>
            </w:r>
          </w:p>
          <w:p w14:paraId="6472E69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2、阻止默认行为的属性以及方法</w:t>
            </w:r>
          </w:p>
          <w:p w14:paraId="77BA71B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阻止默认行为的属性以及方法（默认行为：某些元素在用户操作时，在不调用任何程序的情况下，也会发生具体行为，例如input type=submit在点击时会提交整个form表单）</w:t>
            </w:r>
          </w:p>
          <w:p w14:paraId="6420A70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defaultPrevented：获取是否阻止了默认行为，boolean类型。</w:t>
            </w:r>
          </w:p>
          <w:p w14:paraId="68763E0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preventDefault():阻止默认行为。</w:t>
            </w:r>
          </w:p>
          <w:p w14:paraId="63D7ABF7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事件对象常用的属性</w:t>
            </w:r>
          </w:p>
          <w:p w14:paraId="3B55CF7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常用的基本属性，下面四个属性均为只读属性。</w:t>
            </w:r>
          </w:p>
          <w:p w14:paraId="555BD8B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target:(srcElement）获取事件对应的最详细元素Dom对象。</w:t>
            </w:r>
          </w:p>
          <w:p w14:paraId="0A3B7F5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currentTarget：获取绑定了响应函数的Dom对象，currentTarget不一定与target相等。</w:t>
            </w:r>
          </w:p>
          <w:p w14:paraId="657B52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type：获取事件类型，例如click。</w:t>
            </w:r>
          </w:p>
          <w:p w14:paraId="128AE20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timeStamp：获取时间戳。Number类型。</w:t>
            </w:r>
          </w:p>
          <w:p w14:paraId="75BCADE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78A4B8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965D31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1FC984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00D88E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C2D27E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C8A006C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5125ACED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1357EBB">
            <w:pPr>
              <w:spacing w:line="400" w:lineRule="exact"/>
              <w:jc w:val="left"/>
              <w:rPr>
                <w:sz w:val="24"/>
              </w:rPr>
            </w:pPr>
          </w:p>
          <w:p w14:paraId="195BA4A1">
            <w:pPr>
              <w:spacing w:line="400" w:lineRule="exact"/>
              <w:jc w:val="left"/>
              <w:rPr>
                <w:sz w:val="24"/>
              </w:rPr>
            </w:pPr>
          </w:p>
          <w:p w14:paraId="44D51AF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1FBF32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2FCF7D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02B3F5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C43D39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899C48C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F4F252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6DDA0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66C2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B74B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3A38EA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8448E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728B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EF2DF1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D5AF3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85C4C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2743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54500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DAD3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事件的作用是什么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5D5D82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682E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0123FE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5030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5956A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8F24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DC19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D2B2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4ADE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73AF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F1B6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10F6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讨论事件的组成元素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4D3F54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4B5CB2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00059A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685457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事件流的使用</w:t>
            </w:r>
            <w:r>
              <w:rPr>
                <w:rFonts w:hint="eastAsia"/>
                <w:szCs w:val="21"/>
              </w:rPr>
              <w:t>。</w:t>
            </w:r>
          </w:p>
          <w:p w14:paraId="3B5E13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A8C6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F3B5B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E2DF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A55424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33FEA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3BEB9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8275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6BAE86">
            <w:pPr>
              <w:spacing w:line="400" w:lineRule="exact"/>
              <w:jc w:val="left"/>
              <w:rPr>
                <w:szCs w:val="21"/>
              </w:rPr>
            </w:pPr>
          </w:p>
          <w:p w14:paraId="0DDA01A9">
            <w:pPr>
              <w:spacing w:line="400" w:lineRule="exact"/>
              <w:jc w:val="left"/>
              <w:rPr>
                <w:szCs w:val="21"/>
              </w:rPr>
            </w:pPr>
          </w:p>
          <w:p w14:paraId="20BB609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DBB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25AF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043E93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7A2013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  <w:p w14:paraId="3796E05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一、事件对象</w:t>
                                  </w:r>
                                </w:p>
                                <w:p w14:paraId="4CDA911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二、阻止默认行为的属性以及方法</w:t>
                                  </w:r>
                                </w:p>
                                <w:p w14:paraId="3F37AA43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三、事件对象常用的属性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7A2013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事件机制</w:t>
                            </w:r>
                          </w:p>
                          <w:p w14:paraId="3796E059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一、事件对象</w:t>
                            </w:r>
                          </w:p>
                          <w:p w14:paraId="4CDA9119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二、阻止默认行为的属性以及方法</w:t>
                            </w:r>
                          </w:p>
                          <w:p w14:paraId="3F37AA43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三、事件对象常用的属性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2A725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A91E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BB5CB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D45F69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82029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B5AA4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C99CD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0C9ED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6D93BC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B3DA92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C41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F92A9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EEC400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1750528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87FB55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5AA556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0A3197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7BD3A55"/>
    <w:rsid w:val="283E7C30"/>
    <w:rsid w:val="287405B8"/>
    <w:rsid w:val="28BC7AEE"/>
    <w:rsid w:val="28EC6DF3"/>
    <w:rsid w:val="29FB7B19"/>
    <w:rsid w:val="2A622692"/>
    <w:rsid w:val="2ACB0237"/>
    <w:rsid w:val="2B0A2F88"/>
    <w:rsid w:val="2B12230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0DD0CC4"/>
    <w:rsid w:val="3123722B"/>
    <w:rsid w:val="321D5E4C"/>
    <w:rsid w:val="3248523C"/>
    <w:rsid w:val="324E1E79"/>
    <w:rsid w:val="32BB0E4F"/>
    <w:rsid w:val="334A3E4E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6305CA"/>
    <w:rsid w:val="42BA4EE8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A8C3BBD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0E5236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591C55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993</Words>
  <Characters>1299</Characters>
  <Lines>21</Lines>
  <Paragraphs>6</Paragraphs>
  <TotalTime>0</TotalTime>
  <ScaleCrop>false</ScaleCrop>
  <LinksUpToDate>false</LinksUpToDate>
  <CharactersWithSpaces>1342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2025-08-17T00:18:41Z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