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8B9DD1">
      <w:pPr>
        <w:jc w:val="right"/>
      </w:pPr>
      <w:r>
        <w:rPr>
          <w:rFonts w:hint="eastAsia" w:ascii="微软雅黑" w:hAnsi="微软雅黑" w:eastAsia="微软雅黑" w:cs="微软雅黑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-1703705</wp:posOffset>
            </wp:positionH>
            <wp:positionV relativeFrom="paragraph">
              <wp:posOffset>-1151890</wp:posOffset>
            </wp:positionV>
            <wp:extent cx="10332085" cy="13773785"/>
            <wp:effectExtent l="0" t="0" r="0" b="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6" r="12506"/>
                    <a:stretch>
                      <a:fillRect/>
                    </a:stretch>
                  </pic:blipFill>
                  <pic:spPr>
                    <a:xfrm>
                      <a:off x="0" y="0"/>
                      <a:ext cx="10332000" cy="13773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softHyphen/>
      </w:r>
      <w:r>
        <w:rPr>
          <w:rFonts w:ascii="微软雅黑" w:hAnsi="微软雅黑" w:eastAsia="微软雅黑" w:cs="微软雅黑"/>
        </w:rPr>
        <w:t xml:space="preserve"> </w:t>
      </w:r>
      <w:r>
        <w:rPr>
          <w:rFonts w:ascii="微软雅黑" w:hAnsi="微软雅黑" w:eastAsia="微软雅黑" w:cs="微软雅黑"/>
        </w:rPr>
        <w:softHyphen/>
      </w:r>
    </w:p>
    <w:p w14:paraId="395CA0A0">
      <w:pPr>
        <w:jc w:val="right"/>
      </w:pPr>
    </w:p>
    <w:p w14:paraId="02CD4D06">
      <w:pPr>
        <w:jc w:val="right"/>
      </w:pPr>
    </w:p>
    <w:p w14:paraId="51D50471">
      <w:pPr>
        <w:jc w:val="right"/>
      </w:pPr>
    </w:p>
    <w:p w14:paraId="2EB26594">
      <w:pPr>
        <w:rPr>
          <w:rFonts w:ascii="微软雅黑" w:hAnsi="微软雅黑" w:eastAsia="微软雅黑" w:cs="微软雅黑"/>
        </w:rPr>
      </w:pPr>
    </w:p>
    <w:p w14:paraId="5A89796F">
      <w:pPr>
        <w:rPr>
          <w:rFonts w:ascii="微软雅黑" w:hAnsi="微软雅黑" w:eastAsia="微软雅黑" w:cs="微软雅黑"/>
        </w:rPr>
      </w:pPr>
    </w:p>
    <w:p w14:paraId="3809A1BF">
      <w:pPr>
        <w:rPr>
          <w:rFonts w:ascii="微软雅黑" w:hAnsi="微软雅黑" w:eastAsia="微软雅黑" w:cs="微软雅黑"/>
        </w:rPr>
      </w:pPr>
    </w:p>
    <w:p w14:paraId="6F029ABF">
      <w:pPr>
        <w:rPr>
          <w:rFonts w:ascii="微软雅黑" w:hAnsi="微软雅黑" w:eastAsia="微软雅黑" w:cs="微软雅黑"/>
        </w:rPr>
      </w:pPr>
    </w:p>
    <w:p w14:paraId="4E922C43">
      <w:pPr>
        <w:jc w:val="center"/>
        <w:rPr>
          <w:rFonts w:ascii="方正大黑_GBK" w:eastAsia="方正大黑_GBK"/>
          <w:color w:val="2E75B6" w:themeColor="accent1" w:themeShade="BF"/>
          <w:sz w:val="32"/>
        </w:rPr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755650</wp:posOffset>
                </wp:positionH>
                <wp:positionV relativeFrom="paragraph">
                  <wp:posOffset>194945</wp:posOffset>
                </wp:positionV>
                <wp:extent cx="6410960" cy="861060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1034" cy="861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6EF03F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《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  <w:lang w:val="en-US" w:eastAsia="zh-CN"/>
                              </w:rPr>
                              <w:t>非线性编辑</w:t>
                            </w:r>
                            <w:r>
                              <w:rPr>
                                <w:rFonts w:hint="eastAsia" w:ascii="方正大黑_GBK" w:hAnsi="微软雅黑" w:eastAsia="方正大黑_GBK" w:cs="微软雅黑"/>
                                <w:b/>
                                <w:bCs/>
                                <w:color w:val="F08300"/>
                                <w:sz w:val="52"/>
                                <w:szCs w:val="52"/>
                              </w:rPr>
                              <w:t>技术》教学大纲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9.5pt;margin-top:15.35pt;height:67.8pt;width:504.8pt;mso-position-horizontal-relative:page;z-index:-251657216;mso-width-relative:page;mso-height-relative:page;" filled="f" stroked="f" coordsize="21600,21600" o:gfxdata="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i0K152wAAAAsBAAAPAAAAAAAAAAEAIAAAACIAAABk&#10;cnMvZG93bnJldi54bWxQSwECFAAUAAAACACHTuJAHDwtdDwCAABmBAAADgAAAAAAAAABACAAAAAq&#10;AQAAZHJzL2Uyb0RvYy54bWxQSwUGAAAAAAYABgBZAQAA2AUAAAAA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2E6EF03F">
                      <w:pPr>
                        <w:jc w:val="center"/>
                        <w:rPr>
                          <w:rFonts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《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  <w:lang w:val="en-US" w:eastAsia="zh-CN"/>
                        </w:rPr>
                        <w:t>非线性编辑</w:t>
                      </w:r>
                      <w:r>
                        <w:rPr>
                          <w:rFonts w:hint="eastAsia" w:ascii="方正大黑_GBK" w:hAnsi="微软雅黑" w:eastAsia="方正大黑_GBK" w:cs="微软雅黑"/>
                          <w:b/>
                          <w:bCs/>
                          <w:color w:val="F08300"/>
                          <w:sz w:val="52"/>
                          <w:szCs w:val="52"/>
                        </w:rPr>
                        <w:t>技术》教学大纲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bCs/>
          <w:color w:val="01A99D"/>
          <w:sz w:val="32"/>
        </w:rPr>
        <w:t xml:space="preserve">              </w:t>
      </w:r>
      <w:r>
        <w:rPr>
          <w:rFonts w:hint="eastAsia" w:ascii="方正大黑_GBK" w:eastAsia="方正大黑_GBK"/>
          <w:color w:val="F08300"/>
          <w:sz w:val="32"/>
        </w:rPr>
        <w:t>产品手册系列之</w:t>
      </w:r>
    </w:p>
    <w:p w14:paraId="58CC6159">
      <w:pPr>
        <w:rPr>
          <w:rFonts w:ascii="微软雅黑" w:hAnsi="微软雅黑" w:eastAsia="微软雅黑" w:cs="微软雅黑"/>
        </w:rPr>
      </w:pPr>
      <w: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2548890</wp:posOffset>
                </wp:positionH>
                <wp:positionV relativeFrom="paragraph">
                  <wp:posOffset>385445</wp:posOffset>
                </wp:positionV>
                <wp:extent cx="2725420" cy="586105"/>
                <wp:effectExtent l="0" t="0" r="0" b="444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5420" cy="5861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3CE7CB">
                            <w:pPr>
                              <w:jc w:val="center"/>
                              <w:rPr>
                                <w:rFonts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hint="eastAsia" w:ascii="方正大黑_GBK" w:hAnsi="微软雅黑" w:eastAsia="方正大黑_GBK" w:cs="微软雅黑"/>
                                <w:color w:val="F08300"/>
                                <w:sz w:val="32"/>
                                <w:szCs w:val="32"/>
                              </w:rPr>
                              <w:t>影视后期包装方向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00.7pt;margin-top:30.35pt;height:46.15pt;width:214.6pt;z-index:-251655168;mso-width-relative:page;mso-height-relative:page;" filled="f" stroked="f" coordsize="21600,21600" o:gfxdata="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n0Ms4toAAAAKAQAADwAAAAAAAAABACAAAAAiAAAAZHJz&#10;L2Rvd25yZXYueG1sUEsBAhQAFAAAAAgAh07iQDB/GQ87AgAAZgQAAA4AAAAAAAAAAQAgAAAAKQEA&#10;AGRycy9lMm9Eb2MueG1sUEsFBgAAAAAGAAYAWQEAANYFAAAAAA=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 w14:paraId="0E3CE7CB">
                      <w:pPr>
                        <w:jc w:val="center"/>
                        <w:rPr>
                          <w:rFonts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</w:pPr>
                      <w:r>
                        <w:rPr>
                          <w:rFonts w:hint="eastAsia" w:ascii="方正大黑_GBK" w:hAnsi="微软雅黑" w:eastAsia="方正大黑_GBK" w:cs="微软雅黑"/>
                          <w:color w:val="F08300"/>
                          <w:sz w:val="32"/>
                          <w:szCs w:val="32"/>
                        </w:rPr>
                        <w:t>影视后期包装方向</w:t>
                      </w:r>
                    </w:p>
                  </w:txbxContent>
                </v:textbox>
              </v:shape>
            </w:pict>
          </mc:Fallback>
        </mc:AlternateContent>
      </w:r>
    </w:p>
    <w:p w14:paraId="460142C1">
      <w:pPr>
        <w:rPr>
          <w:rFonts w:ascii="方正准圆简体" w:eastAsia="方正准圆简体"/>
          <w:color w:val="F08300"/>
          <w:sz w:val="36"/>
          <w:szCs w:val="36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30480</wp:posOffset>
                </wp:positionV>
                <wp:extent cx="1984375" cy="394335"/>
                <wp:effectExtent l="0" t="0" r="0" b="5715"/>
                <wp:wrapNone/>
                <wp:docPr id="1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4076" cy="394335"/>
                        </a:xfrm>
                        <a:prstGeom prst="rect">
                          <a:avLst/>
                        </a:prstGeom>
                        <a:solidFill>
                          <a:srgbClr val="F08300"/>
                        </a:solidFill>
                        <a:ln w="9525">
                          <a:noFill/>
                          <a:miter lim="800000"/>
                        </a:ln>
                      </wps:spPr>
                      <wps:txbx>
                        <w:txbxContent>
                          <w:p w14:paraId="369A0001">
                            <w:pPr>
                              <w:spacing w:line="360" w:lineRule="auto"/>
                              <w:jc w:val="center"/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数字媒</w:t>
                            </w:r>
                            <w:r>
                              <w:rPr>
                                <w:rFonts w:hint="eastAsia"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:lang w:val="en-US" w:eastAsia="zh-CN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体技术</w:t>
                            </w:r>
                            <w:r>
                              <w:rPr>
                                <w:rFonts w:ascii="方正大黑_GBK" w:eastAsia="方正大黑_GBK"/>
                                <w:color w:val="FFFFFF" w:themeColor="background1"/>
                                <w:kern w:val="10"/>
                                <w:sz w:val="32"/>
                                <w:szCs w:val="32"/>
                                <w14:textFill>
                                  <w14:solidFill>
                                    <w14:schemeClr w14:val="bg1"/>
                                  </w14:solidFill>
                                </w14:textFill>
                              </w:rPr>
                              <w:t>专业</w:t>
                            </w:r>
                          </w:p>
                        </w:txbxContent>
                      </wps:txbx>
                      <wps:bodyPr rot="0" vert="horz" wrap="square" lIns="108000" tIns="0" rIns="91440" bIns="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64.15pt;margin-top:2.4pt;height:31.05pt;width:156.25pt;z-index:251660288;v-text-anchor:middle;mso-width-relative:page;mso-height-relative:page;" fillcolor="#F08300" filled="t" stroked="f" coordsize="21600,21600" o:gfxdata="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KXWRUtcAAAAIAQAADwAAAAAAAAABACAAAAAiAAAAZHJz&#10;L2Rvd25yZXYueG1sUEsBAhQAFAAAAAgAh07iQDm5qfo+AgAATgQAAA4AAAAAAAAAAQAgAAAAJgEA&#10;AGRycy9lMm9Eb2MueG1sUEsFBgAAAAAGAAYAWQEAANYFAAAAAA==&#10;">
                <v:fill on="t" focussize="0,0"/>
                <v:stroke on="f" miterlimit="8" joinstyle="miter"/>
                <v:imagedata o:title=""/>
                <o:lock v:ext="edit" aspectratio="f"/>
                <v:textbox inset="3mm,0mm,2.54mm,0mm">
                  <w:txbxContent>
                    <w:p w14:paraId="369A0001">
                      <w:pPr>
                        <w:spacing w:line="360" w:lineRule="auto"/>
                        <w:jc w:val="center"/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</w:pP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数字媒</w:t>
                      </w:r>
                      <w:r>
                        <w:rPr>
                          <w:rFonts w:hint="eastAsia"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:lang w:val="en-US" w:eastAsia="zh-CN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体技术</w:t>
                      </w:r>
                      <w:r>
                        <w:rPr>
                          <w:rFonts w:ascii="方正大黑_GBK" w:eastAsia="方正大黑_GBK"/>
                          <w:color w:val="FFFFFF" w:themeColor="background1"/>
                          <w:kern w:val="10"/>
                          <w:sz w:val="32"/>
                          <w:szCs w:val="32"/>
                          <w14:textFill>
                            <w14:solidFill>
                              <w14:schemeClr w14:val="bg1"/>
                            </w14:solidFill>
                          </w14:textFill>
                        </w:rPr>
                        <w:t>专业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color w:val="2E75B6" w:themeColor="accent1" w:themeShade="BF"/>
          <w:sz w:val="32"/>
        </w:rPr>
        <w:t xml:space="preserve">                    </w:t>
      </w:r>
      <w:r>
        <w:rPr>
          <w:color w:val="2E75B6" w:themeColor="accent1" w:themeShade="BF"/>
          <w:sz w:val="32"/>
        </w:rPr>
        <w:t xml:space="preserve"> </w:t>
      </w:r>
    </w:p>
    <w:p w14:paraId="793E83D7">
      <w:pPr>
        <w:jc w:val="center"/>
        <w:rPr>
          <w:color w:val="2E75B6" w:themeColor="accent1" w:themeShade="BF"/>
          <w:sz w:val="32"/>
        </w:rPr>
      </w:pPr>
      <w:r>
        <w:rPr>
          <w:rFonts w:hint="eastAsia"/>
          <w:color w:val="2E75B6" w:themeColor="accent1" w:themeShade="BF"/>
          <w:sz w:val="32"/>
        </w:rPr>
        <w:t xml:space="preserve">             </w:t>
      </w:r>
    </w:p>
    <w:p w14:paraId="20262C08">
      <w:pPr>
        <w:rPr>
          <w:rFonts w:ascii="微软雅黑" w:hAnsi="微软雅黑" w:eastAsia="微软雅黑" w:cs="微软雅黑"/>
        </w:rPr>
      </w:pPr>
    </w:p>
    <w:p w14:paraId="107379E6">
      <w:pPr>
        <w:rPr>
          <w:rFonts w:ascii="微软雅黑" w:hAnsi="微软雅黑" w:eastAsia="微软雅黑" w:cs="微软雅黑"/>
        </w:rPr>
      </w:pPr>
    </w:p>
    <w:p w14:paraId="437AAC28">
      <w:pPr>
        <w:rPr>
          <w:rFonts w:ascii="微软雅黑" w:hAnsi="微软雅黑" w:eastAsia="微软雅黑" w:cs="微软雅黑"/>
        </w:rPr>
      </w:pPr>
    </w:p>
    <w:p w14:paraId="5BBFDD24">
      <w:pPr>
        <w:rPr>
          <w:rFonts w:ascii="微软雅黑" w:hAnsi="微软雅黑" w:eastAsia="微软雅黑" w:cs="微软雅黑"/>
        </w:rPr>
      </w:pPr>
    </w:p>
    <w:p w14:paraId="140316E7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4F1B84AB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C8A2B1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7CC05AC0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2AD65DA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15407945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6D78252C">
      <w:pPr>
        <w:tabs>
          <w:tab w:val="left" w:pos="5040"/>
        </w:tabs>
        <w:rPr>
          <w:rFonts w:ascii="微软雅黑" w:hAnsi="微软雅黑" w:eastAsia="微软雅黑" w:cs="微软雅黑"/>
        </w:rPr>
      </w:pPr>
    </w:p>
    <w:p w14:paraId="2AFF8419">
      <w:pPr>
        <w:tabs>
          <w:tab w:val="left" w:pos="5040"/>
        </w:tabs>
        <w:rPr>
          <w:rFonts w:ascii="微软雅黑" w:hAnsi="微软雅黑" w:eastAsia="微软雅黑" w:cs="微软雅黑"/>
          <w:b/>
          <w:bCs/>
          <w:color w:val="595959" w:themeColor="text1" w:themeTint="A6"/>
          <w:sz w:val="44"/>
          <w:szCs w:val="44"/>
          <w14:textFill>
            <w14:solidFill>
              <w14:schemeClr w14:val="tx1">
                <w14:lumMod w14:val="65000"/>
                <w14:lumOff w14:val="35000"/>
              </w14:schemeClr>
            </w14:solidFill>
          </w14:textFill>
        </w:rPr>
      </w:pPr>
    </w:p>
    <w:p w14:paraId="469CEBCD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宋体" w:hAnsi="宋体"/>
          <w:sz w:val="24"/>
        </w:rPr>
        <w:t>课</w:t>
      </w:r>
      <w:r>
        <w:rPr>
          <w:rFonts w:hint="eastAsia" w:ascii="黑体" w:hAnsi="黑体" w:eastAsia="黑体"/>
          <w:sz w:val="24"/>
        </w:rPr>
        <w:t>程名称</w:t>
      </w:r>
      <w:r>
        <w:rPr>
          <w:rFonts w:hint="eastAsia" w:ascii="黑体" w:hAnsi="黑体" w:eastAsia="黑体"/>
          <w:color w:val="002060"/>
          <w:sz w:val="24"/>
        </w:rPr>
        <w:t>：</w:t>
      </w:r>
      <w:bookmarkStart w:id="0" w:name="_GoBack"/>
      <w:bookmarkEnd w:id="0"/>
      <w:r>
        <w:rPr>
          <w:rFonts w:hint="eastAsia" w:ascii="黑体" w:hAnsi="黑体" w:eastAsia="黑体"/>
          <w:sz w:val="24"/>
          <w:lang w:val="en-US" w:eastAsia="zh-CN"/>
        </w:rPr>
        <w:t>非线性编辑</w:t>
      </w:r>
      <w:r>
        <w:rPr>
          <w:rFonts w:hint="eastAsia" w:ascii="黑体" w:hAnsi="黑体" w:eastAsia="黑体"/>
          <w:sz w:val="24"/>
        </w:rPr>
        <w:t xml:space="preserve">技术 </w:t>
      </w:r>
    </w:p>
    <w:p w14:paraId="7C0E2A2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总学时：</w:t>
      </w:r>
      <w:r>
        <w:rPr>
          <w:rFonts w:hint="eastAsia" w:ascii="黑体" w:hAnsi="黑体" w:eastAsia="黑体"/>
          <w:sz w:val="24"/>
          <w:lang w:val="en-US" w:eastAsia="zh-CN"/>
        </w:rPr>
        <w:t>128</w:t>
      </w:r>
      <w:r>
        <w:rPr>
          <w:rFonts w:hint="eastAsia" w:ascii="黑体" w:hAnsi="黑体" w:eastAsia="黑体"/>
          <w:sz w:val="24"/>
        </w:rPr>
        <w:t>（理论学时：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>；实践学时：</w:t>
      </w:r>
      <w:r>
        <w:rPr>
          <w:rFonts w:hint="eastAsia" w:ascii="黑体" w:hAnsi="黑体" w:eastAsia="黑体"/>
          <w:sz w:val="24"/>
          <w:lang w:val="en-US" w:eastAsia="zh-CN"/>
        </w:rPr>
        <w:t>64</w:t>
      </w:r>
      <w:r>
        <w:rPr>
          <w:rFonts w:hint="eastAsia" w:ascii="黑体" w:hAnsi="黑体" w:eastAsia="黑体"/>
          <w:sz w:val="24"/>
        </w:rPr>
        <w:t xml:space="preserve">）   </w:t>
      </w:r>
    </w:p>
    <w:p w14:paraId="05AE739C">
      <w:pPr>
        <w:spacing w:line="360" w:lineRule="auto"/>
        <w:rPr>
          <w:rFonts w:ascii="黑体" w:hAnsi="黑体" w:eastAsia="黑体"/>
          <w:color w:val="FF0000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课程类型：专业核心课  </w:t>
      </w:r>
    </w:p>
    <w:p w14:paraId="644C0C61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color w:val="FF0000"/>
          <w:sz w:val="24"/>
        </w:rPr>
        <w:t xml:space="preserve">学分：4 </w:t>
      </w:r>
      <w:r>
        <w:rPr>
          <w:rFonts w:ascii="黑体" w:hAnsi="黑体" w:eastAsia="黑体"/>
          <w:color w:val="FF0000"/>
          <w:sz w:val="24"/>
        </w:rPr>
        <w:t xml:space="preserve"> </w:t>
      </w:r>
      <w:r>
        <w:rPr>
          <w:rFonts w:hint="eastAsia" w:ascii="黑体" w:hAnsi="黑体" w:eastAsia="黑体"/>
          <w:sz w:val="24"/>
        </w:rPr>
        <w:t xml:space="preserve">    </w:t>
      </w:r>
    </w:p>
    <w:p w14:paraId="6789A182">
      <w:pPr>
        <w:spacing w:line="360" w:lineRule="auto"/>
        <w:rPr>
          <w:rFonts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/>
          <w:color w:val="0D0D0D" w:themeColor="text1" w:themeTint="F2"/>
          <w:sz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一、课程简介</w:t>
      </w:r>
    </w:p>
    <w:p w14:paraId="2D220F0E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《影视剪辑技术》这门课程主要学习Premiere Pro剪辑软件的基础操作，素材剪辑、各类视频的剪辑流程，短视频剪辑特点及方法，宣传片、广告片的剪辑方法，微电影的剪辑方法。</w:t>
      </w:r>
    </w:p>
    <w:p w14:paraId="201C484A">
      <w:pPr>
        <w:pStyle w:val="14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本课程的教学目标</w:t>
      </w:r>
    </w:p>
    <w:p w14:paraId="491A4F2A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通过本课程的学习，学生可以了解Premiere Pro剪辑软件的基础操作，理解各类视频的剪辑流程，掌握各短视频、宣传片、广告片的剪辑方法</w:t>
      </w:r>
    </w:p>
    <w:p w14:paraId="6DD86ED0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三、本课程与其他课程的关系</w:t>
      </w:r>
    </w:p>
    <w:p w14:paraId="14A431BB">
      <w:pPr>
        <w:spacing w:line="360" w:lineRule="auto"/>
        <w:ind w:firstLine="480" w:firstLineChars="200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本课程为后期《影视后期剪辑》、《影视合成与校色》《影视后期包装综合应用》等高阶课程做准备。</w:t>
      </w:r>
    </w:p>
    <w:p w14:paraId="658F944C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四、课程内容</w:t>
      </w:r>
    </w:p>
    <w:tbl>
      <w:tblPr>
        <w:tblStyle w:val="7"/>
        <w:tblW w:w="85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28"/>
        <w:gridCol w:w="1467"/>
      </w:tblGrid>
      <w:tr w14:paraId="05558B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70E33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第一章  了解Premiere Pro</w:t>
            </w:r>
          </w:p>
        </w:tc>
        <w:tc>
          <w:tcPr>
            <w:tcW w:w="1467" w:type="dxa"/>
            <w:vAlign w:val="top"/>
          </w:tcPr>
          <w:p w14:paraId="110BF28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62334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165A831">
            <w:pPr>
              <w:spacing w:line="360" w:lineRule="auto"/>
              <w:rPr>
                <w:rFonts w:hint="default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主要知识点：Premiere Pro的整体界面、素材导入与项目设置、合快捷键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与导出设置</w:t>
            </w:r>
          </w:p>
        </w:tc>
        <w:tc>
          <w:tcPr>
            <w:tcW w:w="1467" w:type="dxa"/>
            <w:vAlign w:val="top"/>
          </w:tcPr>
          <w:p w14:paraId="1360EF0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641D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6C3895">
            <w:pPr>
              <w:spacing w:line="360" w:lineRule="auto"/>
              <w:rPr>
                <w:rFonts w:hint="eastAsia" w:ascii="黑体" w:hAnsi="黑体" w:eastAsia="黑体"/>
                <w:sz w:val="24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重点：Premiere Pro的整体界面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调整</w:t>
            </w:r>
          </w:p>
        </w:tc>
        <w:tc>
          <w:tcPr>
            <w:tcW w:w="1467" w:type="dxa"/>
            <w:vAlign w:val="top"/>
          </w:tcPr>
          <w:p w14:paraId="0F835608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307DBD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15727DC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难点：熟练使用组合快捷键</w:t>
            </w:r>
          </w:p>
        </w:tc>
        <w:tc>
          <w:tcPr>
            <w:tcW w:w="1467" w:type="dxa"/>
            <w:vAlign w:val="top"/>
          </w:tcPr>
          <w:p w14:paraId="3574F585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C3EA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4BD9A0F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Premiere Pro的整体界面</w:t>
            </w:r>
          </w:p>
        </w:tc>
        <w:tc>
          <w:tcPr>
            <w:tcW w:w="1467" w:type="dxa"/>
            <w:vAlign w:val="top"/>
          </w:tcPr>
          <w:p w14:paraId="3604B9B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2C31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16BDF6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素材导入与项目设置</w:t>
            </w:r>
          </w:p>
        </w:tc>
        <w:tc>
          <w:tcPr>
            <w:tcW w:w="1467" w:type="dxa"/>
            <w:vAlign w:val="top"/>
          </w:tcPr>
          <w:p w14:paraId="0DE8976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4D53E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E87246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快捷键</w:t>
            </w:r>
          </w:p>
        </w:tc>
        <w:tc>
          <w:tcPr>
            <w:tcW w:w="1467" w:type="dxa"/>
            <w:vAlign w:val="top"/>
          </w:tcPr>
          <w:p w14:paraId="3F93D8C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BF3D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CCD144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第二章  素材管理与编辑</w:t>
            </w:r>
          </w:p>
        </w:tc>
        <w:tc>
          <w:tcPr>
            <w:tcW w:w="1467" w:type="dxa"/>
            <w:vAlign w:val="top"/>
          </w:tcPr>
          <w:p w14:paraId="27147539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5FE2F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198C05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主要知识点：项目建立、素材的管理、视频剪辑基础、视频导入导出</w:t>
            </w:r>
          </w:p>
        </w:tc>
        <w:tc>
          <w:tcPr>
            <w:tcW w:w="1467" w:type="dxa"/>
            <w:vAlign w:val="top"/>
          </w:tcPr>
          <w:p w14:paraId="19400D1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6C4CA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0F8A901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重点：素材管理</w:t>
            </w:r>
          </w:p>
        </w:tc>
        <w:tc>
          <w:tcPr>
            <w:tcW w:w="1467" w:type="dxa"/>
            <w:vAlign w:val="top"/>
          </w:tcPr>
          <w:p w14:paraId="21908D77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54097C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BA2672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难点：视频剪辑基础</w:t>
            </w:r>
          </w:p>
        </w:tc>
        <w:tc>
          <w:tcPr>
            <w:tcW w:w="1467" w:type="dxa"/>
            <w:vAlign w:val="top"/>
          </w:tcPr>
          <w:p w14:paraId="482684F4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</w:p>
        </w:tc>
      </w:tr>
      <w:tr w14:paraId="7A8CBC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CF5BD4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第一节 剪辑项目建立</w:t>
            </w:r>
          </w:p>
        </w:tc>
        <w:tc>
          <w:tcPr>
            <w:tcW w:w="1467" w:type="dxa"/>
            <w:vAlign w:val="top"/>
          </w:tcPr>
          <w:p w14:paraId="49C785A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4136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5A9593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第二节 素材管理</w:t>
            </w:r>
          </w:p>
        </w:tc>
        <w:tc>
          <w:tcPr>
            <w:tcW w:w="1467" w:type="dxa"/>
            <w:vAlign w:val="top"/>
          </w:tcPr>
          <w:p w14:paraId="7CE5383E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86FA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2FEDCE6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第三节 视频编辑</w:t>
            </w:r>
          </w:p>
        </w:tc>
        <w:tc>
          <w:tcPr>
            <w:tcW w:w="1467" w:type="dxa"/>
            <w:vAlign w:val="top"/>
          </w:tcPr>
          <w:p w14:paraId="158A8CD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A267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206BCC6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第四节 多机位剪辑</w:t>
            </w:r>
          </w:p>
        </w:tc>
        <w:tc>
          <w:tcPr>
            <w:tcW w:w="1467" w:type="dxa"/>
            <w:vAlign w:val="top"/>
          </w:tcPr>
          <w:p w14:paraId="1567901A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1BF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5A762C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        第五节 视频导入导出</w:t>
            </w:r>
          </w:p>
        </w:tc>
        <w:tc>
          <w:tcPr>
            <w:tcW w:w="1467" w:type="dxa"/>
            <w:vAlign w:val="top"/>
          </w:tcPr>
          <w:p w14:paraId="07D5699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10BF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5F7DDF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第三章  视频添加特效</w:t>
            </w:r>
          </w:p>
        </w:tc>
        <w:tc>
          <w:tcPr>
            <w:tcW w:w="1467" w:type="dxa"/>
            <w:vAlign w:val="top"/>
          </w:tcPr>
          <w:p w14:paraId="6CAA87E5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16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4C4AE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0C04516">
            <w:pPr>
              <w:spacing w:line="360" w:lineRule="auto"/>
              <w:ind w:firstLine="960" w:firstLineChars="40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主要知识点：添加特效的方法、设置特效的关键帧动画效果、关键帧速率调整</w:t>
            </w:r>
          </w:p>
        </w:tc>
        <w:tc>
          <w:tcPr>
            <w:tcW w:w="1467" w:type="dxa"/>
            <w:vAlign w:val="top"/>
          </w:tcPr>
          <w:p w14:paraId="7D0B78BF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1712CD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3AFBDEE3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重点：设置关键帧动画</w:t>
            </w:r>
          </w:p>
        </w:tc>
        <w:tc>
          <w:tcPr>
            <w:tcW w:w="1467" w:type="dxa"/>
            <w:vAlign w:val="top"/>
          </w:tcPr>
          <w:p w14:paraId="30C03C9E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9DBFD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74765EF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难点：关键帧速率调整</w:t>
            </w:r>
          </w:p>
        </w:tc>
        <w:tc>
          <w:tcPr>
            <w:tcW w:w="1467" w:type="dxa"/>
            <w:vAlign w:val="top"/>
          </w:tcPr>
          <w:p w14:paraId="6B5EDFB0">
            <w:pPr>
              <w:spacing w:line="360" w:lineRule="auto"/>
              <w:jc w:val="center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36DFB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048A4C6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添加特效与常用特效</w:t>
            </w:r>
          </w:p>
        </w:tc>
        <w:tc>
          <w:tcPr>
            <w:tcW w:w="1467" w:type="dxa"/>
            <w:vAlign w:val="top"/>
          </w:tcPr>
          <w:p w14:paraId="0D6FAD7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CC91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5F7E0E89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关键帧动画</w:t>
            </w:r>
          </w:p>
        </w:tc>
        <w:tc>
          <w:tcPr>
            <w:tcW w:w="1467" w:type="dxa"/>
            <w:vAlign w:val="top"/>
          </w:tcPr>
          <w:p w14:paraId="76A7E216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06BB3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7A907BFD">
            <w:pPr>
              <w:spacing w:line="360" w:lineRule="auto"/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第四章 文字编辑</w:t>
            </w:r>
          </w:p>
        </w:tc>
        <w:tc>
          <w:tcPr>
            <w:tcW w:w="1467" w:type="dxa"/>
            <w:vAlign w:val="top"/>
          </w:tcPr>
          <w:p w14:paraId="589FF96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3C25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  <w:jc w:val="center"/>
        </w:trPr>
        <w:tc>
          <w:tcPr>
            <w:tcW w:w="7128" w:type="dxa"/>
            <w:vAlign w:val="top"/>
          </w:tcPr>
          <w:p w14:paraId="6559200D">
            <w:pPr>
              <w:spacing w:line="360" w:lineRule="auto"/>
              <w:ind w:left="19" w:leftChars="9" w:firstLine="818" w:firstLineChars="341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主要知识点：创建文字的方法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与字幕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形面板、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掌握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创建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动静态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字幕与调整方法</w:t>
            </w:r>
          </w:p>
        </w:tc>
        <w:tc>
          <w:tcPr>
            <w:tcW w:w="1467" w:type="dxa"/>
            <w:vAlign w:val="top"/>
          </w:tcPr>
          <w:p w14:paraId="7E9A55B0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24A947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  <w:jc w:val="center"/>
        </w:trPr>
        <w:tc>
          <w:tcPr>
            <w:tcW w:w="7128" w:type="dxa"/>
            <w:vAlign w:val="top"/>
          </w:tcPr>
          <w:p w14:paraId="63417C67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重点：创建文字</w:t>
            </w:r>
          </w:p>
        </w:tc>
        <w:tc>
          <w:tcPr>
            <w:tcW w:w="1467" w:type="dxa"/>
            <w:vAlign w:val="top"/>
          </w:tcPr>
          <w:p w14:paraId="6B691ACD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951A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0F7FC9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动静态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字幕与调整</w:t>
            </w:r>
          </w:p>
        </w:tc>
        <w:tc>
          <w:tcPr>
            <w:tcW w:w="1467" w:type="dxa"/>
            <w:vAlign w:val="top"/>
          </w:tcPr>
          <w:p w14:paraId="5B2F992C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0718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C185C6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 创建文字与字幕设计窗口</w:t>
            </w:r>
          </w:p>
        </w:tc>
        <w:tc>
          <w:tcPr>
            <w:tcW w:w="1467" w:type="dxa"/>
            <w:vAlign w:val="top"/>
          </w:tcPr>
          <w:p w14:paraId="74DB5FD8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7E1CA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128" w:type="dxa"/>
            <w:vAlign w:val="top"/>
          </w:tcPr>
          <w:p w14:paraId="6AF8107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 动静态字幕</w:t>
            </w:r>
          </w:p>
        </w:tc>
        <w:tc>
          <w:tcPr>
            <w:tcW w:w="1467" w:type="dxa"/>
            <w:vAlign w:val="top"/>
          </w:tcPr>
          <w:p w14:paraId="522E2BDA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color w:val="000000"/>
                <w:sz w:val="24"/>
                <w:szCs w:val="24"/>
              </w:rPr>
              <w:t>掌握应用</w:t>
            </w:r>
          </w:p>
        </w:tc>
      </w:tr>
      <w:tr w14:paraId="7D8EC0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65EFD49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第五章  音频编辑</w:t>
            </w:r>
          </w:p>
        </w:tc>
        <w:tc>
          <w:tcPr>
            <w:tcW w:w="1467" w:type="dxa"/>
            <w:vAlign w:val="top"/>
          </w:tcPr>
          <w:p w14:paraId="35A88E14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（16学时）</w:t>
            </w:r>
          </w:p>
        </w:tc>
      </w:tr>
      <w:tr w14:paraId="641EA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2789154">
            <w:pPr>
              <w:spacing w:line="360" w:lineRule="auto"/>
              <w:ind w:firstLine="840" w:firstLineChars="350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主要知识点：音频文件建立与处理、混合声音与制作特殊声音效果</w:t>
            </w:r>
          </w:p>
        </w:tc>
        <w:tc>
          <w:tcPr>
            <w:tcW w:w="1467" w:type="dxa"/>
            <w:vAlign w:val="top"/>
          </w:tcPr>
          <w:p w14:paraId="339748A9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76360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33B494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重点：音频的调整及特效</w:t>
            </w:r>
          </w:p>
        </w:tc>
        <w:tc>
          <w:tcPr>
            <w:tcW w:w="1467" w:type="dxa"/>
            <w:vAlign w:val="top"/>
          </w:tcPr>
          <w:p w14:paraId="4DDB34D8">
            <w:pPr>
              <w:spacing w:line="360" w:lineRule="auto"/>
              <w:rPr>
                <w:rFonts w:ascii="黑体" w:hAnsi="黑体" w:eastAsia="黑体"/>
                <w:color w:val="000000"/>
                <w:sz w:val="24"/>
              </w:rPr>
            </w:pPr>
          </w:p>
        </w:tc>
      </w:tr>
      <w:tr w14:paraId="049CD7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B03628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难点：音频与视频的剪辑结合</w:t>
            </w:r>
          </w:p>
        </w:tc>
        <w:tc>
          <w:tcPr>
            <w:tcW w:w="1467" w:type="dxa"/>
            <w:vAlign w:val="top"/>
          </w:tcPr>
          <w:p w14:paraId="342DBE4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</w:p>
        </w:tc>
      </w:tr>
      <w:tr w14:paraId="6F254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815DBC0">
            <w:pPr>
              <w:spacing w:line="360" w:lineRule="auto"/>
              <w:ind w:firstLine="952" w:firstLineChars="397"/>
              <w:rPr>
                <w:rStyle w:val="10"/>
                <w:rFonts w:ascii="黑体" w:hAnsi="黑体" w:eastAsia="黑体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音频文件建立与处理</w:t>
            </w:r>
          </w:p>
        </w:tc>
        <w:tc>
          <w:tcPr>
            <w:tcW w:w="1467" w:type="dxa"/>
            <w:vAlign w:val="top"/>
          </w:tcPr>
          <w:p w14:paraId="4A449412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17E7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2A27C8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混合声音与制作特殊声音效果</w:t>
            </w:r>
          </w:p>
        </w:tc>
        <w:tc>
          <w:tcPr>
            <w:tcW w:w="1467" w:type="dxa"/>
            <w:vAlign w:val="top"/>
          </w:tcPr>
          <w:p w14:paraId="5A8261B3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C662B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B6684FA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第六章  色彩校正</w:t>
            </w:r>
          </w:p>
        </w:tc>
        <w:tc>
          <w:tcPr>
            <w:tcW w:w="1467" w:type="dxa"/>
            <w:vAlign w:val="top"/>
          </w:tcPr>
          <w:p w14:paraId="372E4B45">
            <w:pPr>
              <w:spacing w:line="360" w:lineRule="auto"/>
              <w:rPr>
                <w:rFonts w:ascii="黑体" w:hAnsi="黑体" w:eastAsia="黑体"/>
                <w:color w:val="FF0000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（16学时）</w:t>
            </w:r>
          </w:p>
        </w:tc>
      </w:tr>
      <w:tr w14:paraId="348E8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1CA0A1A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主要知识点：色彩校正特效、Lumetri Color板块面板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功能介绍、一、二级校色方基础方法</w:t>
            </w:r>
          </w:p>
        </w:tc>
        <w:tc>
          <w:tcPr>
            <w:tcW w:w="1467" w:type="dxa"/>
            <w:vAlign w:val="top"/>
          </w:tcPr>
          <w:p w14:paraId="16095FD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2666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6994508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重点：色彩校正板块面板功能的了解</w:t>
            </w:r>
          </w:p>
        </w:tc>
        <w:tc>
          <w:tcPr>
            <w:tcW w:w="1467" w:type="dxa"/>
            <w:vAlign w:val="top"/>
          </w:tcPr>
          <w:p w14:paraId="2842172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3C7E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006C1BB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难点：视频色彩一级、二级校色方基础方法</w:t>
            </w:r>
          </w:p>
        </w:tc>
        <w:tc>
          <w:tcPr>
            <w:tcW w:w="1467" w:type="dxa"/>
            <w:vAlign w:val="top"/>
          </w:tcPr>
          <w:p w14:paraId="01A3F07D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5EF76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746950DC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什么是色彩校正</w:t>
            </w:r>
          </w:p>
        </w:tc>
        <w:tc>
          <w:tcPr>
            <w:tcW w:w="1467" w:type="dxa"/>
            <w:vAlign w:val="top"/>
          </w:tcPr>
          <w:p w14:paraId="6C3D1F23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24B256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D0E45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第二节 色彩校正特效</w:t>
            </w:r>
          </w:p>
        </w:tc>
        <w:tc>
          <w:tcPr>
            <w:tcW w:w="1467" w:type="dxa"/>
            <w:vAlign w:val="top"/>
          </w:tcPr>
          <w:p w14:paraId="01644CBF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3658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5CC1DD7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第三节 Lumetri Color校色</w:t>
            </w:r>
          </w:p>
        </w:tc>
        <w:tc>
          <w:tcPr>
            <w:tcW w:w="1467" w:type="dxa"/>
            <w:vAlign w:val="top"/>
          </w:tcPr>
          <w:p w14:paraId="3CE7F275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7CA0E1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822ABB5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 xml:space="preserve">第四节 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一、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二级校色</w:t>
            </w:r>
          </w:p>
        </w:tc>
        <w:tc>
          <w:tcPr>
            <w:tcW w:w="1467" w:type="dxa"/>
            <w:vAlign w:val="top"/>
          </w:tcPr>
          <w:p w14:paraId="5EEC50F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1AA2E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126F0BAC">
            <w:pPr>
              <w:spacing w:line="360" w:lineRule="auto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第七章  视频实践剪辑</w:t>
            </w:r>
          </w:p>
        </w:tc>
        <w:tc>
          <w:tcPr>
            <w:tcW w:w="1467" w:type="dxa"/>
            <w:vAlign w:val="top"/>
          </w:tcPr>
          <w:p w14:paraId="626920D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（20学时）</w:t>
            </w:r>
          </w:p>
        </w:tc>
      </w:tr>
      <w:tr w14:paraId="152FE2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D7B406E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主要知识点：视频剪辑流程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与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技巧</w:t>
            </w:r>
          </w:p>
        </w:tc>
        <w:tc>
          <w:tcPr>
            <w:tcW w:w="1467" w:type="dxa"/>
            <w:vAlign w:val="top"/>
          </w:tcPr>
          <w:p w14:paraId="13F7CC82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77ADA0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C4EA0B0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重点：视频剪辑流程</w:t>
            </w:r>
          </w:p>
        </w:tc>
        <w:tc>
          <w:tcPr>
            <w:tcW w:w="1467" w:type="dxa"/>
            <w:vAlign w:val="top"/>
          </w:tcPr>
          <w:p w14:paraId="6115B4BA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3C318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8BA283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难点：视频剪辑技巧</w:t>
            </w:r>
          </w:p>
        </w:tc>
        <w:tc>
          <w:tcPr>
            <w:tcW w:w="1467" w:type="dxa"/>
            <w:vAlign w:val="top"/>
          </w:tcPr>
          <w:p w14:paraId="408BB01B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55C0F9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929ACAE">
            <w:pPr>
              <w:spacing w:line="360" w:lineRule="auto"/>
              <w:ind w:firstLine="952" w:firstLineChars="397"/>
              <w:rPr>
                <w:rFonts w:ascii="黑体" w:hAnsi="黑体" w:eastAsia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视频剪辑流程、技巧</w:t>
            </w:r>
          </w:p>
        </w:tc>
        <w:tc>
          <w:tcPr>
            <w:tcW w:w="1467" w:type="dxa"/>
            <w:vAlign w:val="top"/>
          </w:tcPr>
          <w:p w14:paraId="3A379544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  <w:tr w14:paraId="69A30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A48B932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第八章  综合应用剪辑测试</w:t>
            </w:r>
          </w:p>
        </w:tc>
        <w:tc>
          <w:tcPr>
            <w:tcW w:w="1467" w:type="dxa"/>
            <w:vAlign w:val="top"/>
          </w:tcPr>
          <w:p w14:paraId="3219A948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（</w:t>
            </w:r>
            <w:r>
              <w:rPr>
                <w:rFonts w:hint="eastAsia" w:ascii="黑体" w:hAnsi="黑体" w:eastAsia="黑体" w:cs="黑体"/>
                <w:sz w:val="24"/>
                <w:szCs w:val="24"/>
                <w:lang w:val="en-US" w:eastAsia="zh-CN"/>
              </w:rPr>
              <w:t>28</w:t>
            </w:r>
            <w:r>
              <w:rPr>
                <w:rFonts w:hint="eastAsia" w:ascii="黑体" w:hAnsi="黑体" w:eastAsia="黑体" w:cs="黑体"/>
                <w:sz w:val="24"/>
                <w:szCs w:val="24"/>
              </w:rPr>
              <w:t>学时）</w:t>
            </w:r>
          </w:p>
        </w:tc>
      </w:tr>
      <w:tr w14:paraId="1310B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74FAFE6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主要知识点：练习完成商业影视作品模仿练习制作</w:t>
            </w:r>
          </w:p>
        </w:tc>
        <w:tc>
          <w:tcPr>
            <w:tcW w:w="1467" w:type="dxa"/>
            <w:vAlign w:val="top"/>
          </w:tcPr>
          <w:p w14:paraId="09257391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176F11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3A401BB1">
            <w:pPr>
              <w:spacing w:line="360" w:lineRule="auto"/>
              <w:ind w:firstLine="952" w:firstLineChars="397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重点：完成商业影视作品模仿练习制作</w:t>
            </w:r>
          </w:p>
        </w:tc>
        <w:tc>
          <w:tcPr>
            <w:tcW w:w="1467" w:type="dxa"/>
            <w:vAlign w:val="top"/>
          </w:tcPr>
          <w:p w14:paraId="448025B5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0267E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25D08062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难点：对作品视频制作实践的综合运用</w:t>
            </w:r>
          </w:p>
        </w:tc>
        <w:tc>
          <w:tcPr>
            <w:tcW w:w="1467" w:type="dxa"/>
            <w:vAlign w:val="top"/>
          </w:tcPr>
          <w:p w14:paraId="01625219">
            <w:pPr>
              <w:spacing w:line="360" w:lineRule="auto"/>
              <w:rPr>
                <w:rFonts w:ascii="黑体" w:hAnsi="黑体" w:eastAsia="黑体"/>
                <w:sz w:val="24"/>
              </w:rPr>
            </w:pPr>
          </w:p>
        </w:tc>
      </w:tr>
      <w:tr w14:paraId="65921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128" w:type="dxa"/>
            <w:vAlign w:val="top"/>
          </w:tcPr>
          <w:p w14:paraId="0412AF31">
            <w:pPr>
              <w:spacing w:line="360" w:lineRule="auto"/>
              <w:ind w:firstLine="952" w:firstLineChars="397"/>
              <w:rPr>
                <w:rFonts w:hint="eastAsia" w:ascii="黑体" w:hAnsi="黑体" w:eastAsia="黑体" w:cs="黑体"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第一节 综合应用剪辑</w:t>
            </w:r>
          </w:p>
        </w:tc>
        <w:tc>
          <w:tcPr>
            <w:tcW w:w="1467" w:type="dxa"/>
            <w:vAlign w:val="top"/>
          </w:tcPr>
          <w:p w14:paraId="3BB6ECEB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掌握应用</w:t>
            </w:r>
          </w:p>
        </w:tc>
      </w:tr>
    </w:tbl>
    <w:p w14:paraId="5F8C96AB">
      <w:pPr>
        <w:pStyle w:val="6"/>
        <w:spacing w:before="0" w:beforeAutospacing="0" w:after="0" w:afterAutospacing="0" w:line="360" w:lineRule="auto"/>
        <w:rPr>
          <w:rFonts w:hint="eastAsia" w:ascii="黑体" w:hAnsi="黑体" w:eastAsia="黑体"/>
        </w:rPr>
      </w:pPr>
    </w:p>
    <w:p w14:paraId="52966F3D">
      <w:pPr>
        <w:pStyle w:val="6"/>
        <w:spacing w:before="0" w:beforeAutospacing="0" w:after="0" w:afterAutospacing="0" w:line="360" w:lineRule="auto"/>
        <w:rPr>
          <w:rFonts w:ascii="黑体" w:hAnsi="黑体" w:eastAsia="黑体"/>
        </w:rPr>
      </w:pPr>
      <w:r>
        <w:rPr>
          <w:rFonts w:hint="eastAsia" w:ascii="黑体" w:hAnsi="黑体" w:eastAsia="黑体"/>
        </w:rPr>
        <w:t>五、各教学环节学时分配</w:t>
      </w:r>
    </w:p>
    <w:tbl>
      <w:tblPr>
        <w:tblStyle w:val="7"/>
        <w:tblW w:w="85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76"/>
        <w:gridCol w:w="2016"/>
        <w:gridCol w:w="2016"/>
        <w:gridCol w:w="1870"/>
      </w:tblGrid>
      <w:tr w14:paraId="391733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1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5FB53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章节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E1114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理论课   </w:t>
            </w:r>
          </w:p>
          <w:p w14:paraId="176DBE00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8EEB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 xml:space="preserve">实践课   </w:t>
            </w:r>
          </w:p>
          <w:p w14:paraId="7C6B799D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（学时）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03A3A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小计</w:t>
            </w:r>
          </w:p>
        </w:tc>
      </w:tr>
      <w:tr w14:paraId="50D37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ACD30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第一章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D8A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670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4D247E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8</w:t>
            </w:r>
          </w:p>
        </w:tc>
      </w:tr>
      <w:tr w14:paraId="17205D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7C03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第二章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F0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7B8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E52A3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5DF140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C69B8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第三章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190A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6B7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9E575E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1D399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12FCF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第四章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226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62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870344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12</w:t>
            </w:r>
          </w:p>
        </w:tc>
      </w:tr>
      <w:tr w14:paraId="13C0A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40CB8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第五章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6A3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9EF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8FBACC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37D30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A936D2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第六章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6BDC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11B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4A442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16</w:t>
            </w:r>
          </w:p>
        </w:tc>
      </w:tr>
      <w:tr w14:paraId="306C67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998FDA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第七章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EF7E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EFE8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ED8DFD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20</w:t>
            </w:r>
          </w:p>
        </w:tc>
      </w:tr>
      <w:tr w14:paraId="28554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9B3A57">
            <w:pPr>
              <w:pStyle w:val="6"/>
              <w:spacing w:before="0" w:beforeAutospacing="0" w:after="0" w:afterAutospacing="0" w:line="360" w:lineRule="auto"/>
              <w:jc w:val="center"/>
              <w:rPr>
                <w:rFonts w:ascii="黑体" w:hAnsi="黑体" w:eastAsia="黑体"/>
              </w:rPr>
            </w:pPr>
            <w:r>
              <w:rPr>
                <w:rFonts w:hint="eastAsia" w:ascii="黑体" w:hAnsi="黑体" w:eastAsia="黑体"/>
              </w:rPr>
              <w:t>第</w:t>
            </w:r>
            <w:r>
              <w:rPr>
                <w:rFonts w:hint="eastAsia" w:ascii="黑体" w:hAnsi="黑体" w:eastAsia="黑体"/>
                <w:lang w:val="en-US" w:eastAsia="zh-CN"/>
              </w:rPr>
              <w:t>八</w:t>
            </w:r>
            <w:r>
              <w:rPr>
                <w:rFonts w:hint="eastAsia" w:ascii="黑体" w:hAnsi="黑体" w:eastAsia="黑体"/>
              </w:rPr>
              <w:t>章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2D0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A108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5DD00F">
            <w:pPr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</w:rPr>
              <w:t>28</w:t>
            </w:r>
          </w:p>
        </w:tc>
      </w:tr>
      <w:tr w14:paraId="53467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  <w:jc w:val="center"/>
        </w:trPr>
        <w:tc>
          <w:tcPr>
            <w:tcW w:w="26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47CA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Arial Unicode MS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/>
              </w:rPr>
              <w:t>总计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1A8BA0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2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5EB5D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</w:rPr>
              <w:t>64</w:t>
            </w:r>
          </w:p>
        </w:tc>
        <w:tc>
          <w:tcPr>
            <w:tcW w:w="18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E792DB">
            <w:pPr>
              <w:pStyle w:val="6"/>
              <w:spacing w:before="0" w:beforeAutospacing="0" w:after="0" w:afterAutospacing="0" w:line="360" w:lineRule="auto"/>
              <w:jc w:val="center"/>
              <w:rPr>
                <w:rFonts w:hint="eastAsia" w:ascii="黑体" w:hAnsi="黑体" w:eastAsia="黑体" w:cs="黑体"/>
                <w:b/>
                <w:bCs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lang w:val="en-US" w:eastAsia="zh-CN"/>
              </w:rPr>
              <w:t>128</w:t>
            </w:r>
          </w:p>
        </w:tc>
      </w:tr>
    </w:tbl>
    <w:p w14:paraId="588F3892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六、考核方式与成绩评定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2907"/>
        <w:gridCol w:w="3960"/>
      </w:tblGrid>
      <w:tr w14:paraId="56B8A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2219ABEF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考核类型</w:t>
            </w:r>
          </w:p>
        </w:tc>
        <w:tc>
          <w:tcPr>
            <w:tcW w:w="2907" w:type="dxa"/>
          </w:tcPr>
          <w:p w14:paraId="7F3E2B53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考核方式</w:t>
            </w:r>
          </w:p>
        </w:tc>
        <w:tc>
          <w:tcPr>
            <w:tcW w:w="3960" w:type="dxa"/>
          </w:tcPr>
          <w:p w14:paraId="2474D626">
            <w:pPr>
              <w:spacing w:line="360" w:lineRule="auto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成绩构成</w:t>
            </w:r>
          </w:p>
        </w:tc>
      </w:tr>
      <w:tr w14:paraId="7DC60F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1639" w:type="dxa"/>
          </w:tcPr>
          <w:p w14:paraId="485D5C6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考查</w:t>
            </w:r>
          </w:p>
        </w:tc>
        <w:tc>
          <w:tcPr>
            <w:tcW w:w="2907" w:type="dxa"/>
          </w:tcPr>
          <w:p w14:paraId="7F0C997C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</w:t>
            </w:r>
          </w:p>
        </w:tc>
        <w:tc>
          <w:tcPr>
            <w:tcW w:w="3960" w:type="dxa"/>
          </w:tcPr>
          <w:p w14:paraId="4A19B42E">
            <w:pPr>
              <w:spacing w:line="360" w:lineRule="auto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上机60%+平时成绩40%</w:t>
            </w:r>
          </w:p>
        </w:tc>
      </w:tr>
    </w:tbl>
    <w:p w14:paraId="656C8516">
      <w:pPr>
        <w:spacing w:line="360" w:lineRule="auto"/>
        <w:rPr>
          <w:rFonts w:ascii="黑体" w:hAnsi="黑体" w:eastAsia="黑体"/>
          <w:sz w:val="24"/>
        </w:rPr>
      </w:pPr>
      <w:r>
        <w:rPr>
          <w:rFonts w:hint="eastAsia" w:ascii="黑体" w:hAnsi="黑体" w:eastAsia="黑体"/>
          <w:sz w:val="24"/>
        </w:rPr>
        <w:t>七、教材与参考书</w:t>
      </w:r>
    </w:p>
    <w:p w14:paraId="466016DD">
      <w:pPr>
        <w:pStyle w:val="2"/>
        <w:widowControl/>
        <w:shd w:val="clear" w:color="auto" w:fill="FFFFFF"/>
        <w:spacing w:before="0" w:beforeAutospacing="0" w:after="0" w:afterAutospacing="0" w:line="15" w:lineRule="atLeast"/>
        <w:rPr>
          <w:rFonts w:hint="default" w:ascii="黑体" w:hAnsi="黑体" w:eastAsia="黑体" w:cs="Tahoma"/>
          <w:b w:val="0"/>
          <w:bCs/>
          <w:sz w:val="22"/>
          <w:szCs w:val="22"/>
          <w:shd w:val="clear" w:color="auto" w:fill="FFFFFF"/>
        </w:rPr>
      </w:pPr>
      <w:r>
        <w:rPr>
          <w:rFonts w:ascii="黑体" w:hAnsi="黑体" w:eastAsia="黑体"/>
          <w:sz w:val="24"/>
        </w:rPr>
        <w:t>1.</w:t>
      </w:r>
      <w:r>
        <w:rPr>
          <w:rFonts w:hint="eastAsia" w:ascii="黑体" w:hAnsi="黑体" w:eastAsia="黑体" w:cs="宋体"/>
          <w:b w:val="0"/>
          <w:bCs/>
          <w:color w:val="000000"/>
          <w:sz w:val="24"/>
          <w:szCs w:val="24"/>
          <w:shd w:val="clear" w:color="auto" w:fill="FFFFFF"/>
        </w:rPr>
        <w:t>《Adobe Premiere Pro CC经典教程》是人民邮电出版社，2020年1月出版，作者【英】马克西姆 亚哥，译者 武传海</w:t>
      </w:r>
      <w:r>
        <w:rPr>
          <w:rFonts w:ascii="黑体" w:hAnsi="黑体" w:eastAsia="黑体" w:cs="Tahoma"/>
          <w:b w:val="0"/>
          <w:bCs/>
          <w:sz w:val="22"/>
          <w:szCs w:val="22"/>
          <w:shd w:val="clear" w:color="auto" w:fill="FFFFFF"/>
        </w:rPr>
        <w:t>。</w:t>
      </w:r>
    </w:p>
    <w:p w14:paraId="203DDFAE">
      <w:pPr>
        <w:spacing w:line="320" w:lineRule="exact"/>
        <w:jc w:val="left"/>
        <w:rPr>
          <w:rFonts w:ascii="黑体" w:hAnsi="黑体" w:eastAsia="黑体" w:cs="微软雅黑"/>
        </w:rPr>
      </w:pPr>
    </w:p>
    <w:sectPr>
      <w:headerReference r:id="rId3" w:type="default"/>
      <w:pgSz w:w="11906" w:h="16838"/>
      <w:pgMar w:top="1440" w:right="1800" w:bottom="1440" w:left="1800" w:header="851" w:footer="850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Arial"/>
    <w:panose1 w:val="020B06040202020202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大黑_GBK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准圆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D4087C">
    <w:pPr>
      <w:pStyle w:val="5"/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-554990</wp:posOffset>
          </wp:positionH>
          <wp:positionV relativeFrom="paragraph">
            <wp:posOffset>-529590</wp:posOffset>
          </wp:positionV>
          <wp:extent cx="8107680" cy="10664190"/>
          <wp:effectExtent l="0" t="0" r="7620" b="3810"/>
          <wp:wrapNone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7680" cy="10664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188AF8C">
    <w:pPr>
      <w:pStyle w:val="5"/>
    </w:pPr>
  </w:p>
  <w:p w14:paraId="7A3FE4A4"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9977CD"/>
    <w:multiLevelType w:val="multilevel"/>
    <w:tmpl w:val="779977CD"/>
    <w:lvl w:ilvl="0" w:tentative="0">
      <w:start w:val="2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NhMGZlNzBjZTA4YTY1M2Y2YjE0ZWRlNDk2YzAyNzUifQ=="/>
  </w:docVars>
  <w:rsids>
    <w:rsidRoot w:val="00DA13A3"/>
    <w:rsid w:val="00144B66"/>
    <w:rsid w:val="001C2F5B"/>
    <w:rsid w:val="0028778D"/>
    <w:rsid w:val="002B247F"/>
    <w:rsid w:val="002F7B6D"/>
    <w:rsid w:val="003427FF"/>
    <w:rsid w:val="003730F9"/>
    <w:rsid w:val="00382CB5"/>
    <w:rsid w:val="00432745"/>
    <w:rsid w:val="004A62CD"/>
    <w:rsid w:val="004E4CB4"/>
    <w:rsid w:val="00567C1B"/>
    <w:rsid w:val="00616294"/>
    <w:rsid w:val="00641008"/>
    <w:rsid w:val="00700377"/>
    <w:rsid w:val="007749A5"/>
    <w:rsid w:val="007D6E18"/>
    <w:rsid w:val="0083696D"/>
    <w:rsid w:val="008F18F3"/>
    <w:rsid w:val="0091126C"/>
    <w:rsid w:val="00933224"/>
    <w:rsid w:val="00A10BD1"/>
    <w:rsid w:val="00A61D91"/>
    <w:rsid w:val="00A9462C"/>
    <w:rsid w:val="00BE1402"/>
    <w:rsid w:val="00C30694"/>
    <w:rsid w:val="00CE5A75"/>
    <w:rsid w:val="00D904E1"/>
    <w:rsid w:val="00DA13A3"/>
    <w:rsid w:val="00E06ACF"/>
    <w:rsid w:val="00E36710"/>
    <w:rsid w:val="00EA5ACD"/>
    <w:rsid w:val="00ED0E5C"/>
    <w:rsid w:val="00F82539"/>
    <w:rsid w:val="00FE5BC5"/>
    <w:rsid w:val="016814B1"/>
    <w:rsid w:val="0207305F"/>
    <w:rsid w:val="02502671"/>
    <w:rsid w:val="03522419"/>
    <w:rsid w:val="04640655"/>
    <w:rsid w:val="04781A0B"/>
    <w:rsid w:val="04AE73E4"/>
    <w:rsid w:val="05DA1569"/>
    <w:rsid w:val="061E65E2"/>
    <w:rsid w:val="07AD5E6F"/>
    <w:rsid w:val="07AE01F0"/>
    <w:rsid w:val="07D30A7B"/>
    <w:rsid w:val="0B5E5DFE"/>
    <w:rsid w:val="0C085CA5"/>
    <w:rsid w:val="0DE14811"/>
    <w:rsid w:val="0DEB54A2"/>
    <w:rsid w:val="0F081C15"/>
    <w:rsid w:val="10BB7585"/>
    <w:rsid w:val="127557DC"/>
    <w:rsid w:val="12C4685D"/>
    <w:rsid w:val="1324544C"/>
    <w:rsid w:val="138C7281"/>
    <w:rsid w:val="15CB20B7"/>
    <w:rsid w:val="187F5606"/>
    <w:rsid w:val="199F6E19"/>
    <w:rsid w:val="1B886580"/>
    <w:rsid w:val="1F9B480F"/>
    <w:rsid w:val="1FD71884"/>
    <w:rsid w:val="20270A5D"/>
    <w:rsid w:val="20284199"/>
    <w:rsid w:val="214E2A49"/>
    <w:rsid w:val="248B72FC"/>
    <w:rsid w:val="24CD56C3"/>
    <w:rsid w:val="25524FC9"/>
    <w:rsid w:val="26C22AA4"/>
    <w:rsid w:val="27B32BD6"/>
    <w:rsid w:val="28247630"/>
    <w:rsid w:val="28AD1D1C"/>
    <w:rsid w:val="2A7B2605"/>
    <w:rsid w:val="2AB27175"/>
    <w:rsid w:val="2B103DF1"/>
    <w:rsid w:val="2E183EA3"/>
    <w:rsid w:val="30C23404"/>
    <w:rsid w:val="331C460E"/>
    <w:rsid w:val="34931DC5"/>
    <w:rsid w:val="356B3EAB"/>
    <w:rsid w:val="36EB6463"/>
    <w:rsid w:val="3963301E"/>
    <w:rsid w:val="3A751FC8"/>
    <w:rsid w:val="3A9E14C4"/>
    <w:rsid w:val="3B9D404A"/>
    <w:rsid w:val="3DF44CC0"/>
    <w:rsid w:val="3F850EA5"/>
    <w:rsid w:val="402D5DC0"/>
    <w:rsid w:val="41B25855"/>
    <w:rsid w:val="42E06053"/>
    <w:rsid w:val="43E3536B"/>
    <w:rsid w:val="46010E31"/>
    <w:rsid w:val="460C7C68"/>
    <w:rsid w:val="46F25071"/>
    <w:rsid w:val="4AAE6530"/>
    <w:rsid w:val="4B9F58B7"/>
    <w:rsid w:val="4CE0771A"/>
    <w:rsid w:val="4D0B0C3B"/>
    <w:rsid w:val="4D1F0243"/>
    <w:rsid w:val="4DF96CE5"/>
    <w:rsid w:val="4E09413B"/>
    <w:rsid w:val="4FE70DC0"/>
    <w:rsid w:val="51E67581"/>
    <w:rsid w:val="52151C14"/>
    <w:rsid w:val="52B83435"/>
    <w:rsid w:val="52E144DC"/>
    <w:rsid w:val="52F71A4E"/>
    <w:rsid w:val="5373574F"/>
    <w:rsid w:val="539B6326"/>
    <w:rsid w:val="53FA37B7"/>
    <w:rsid w:val="54F2623D"/>
    <w:rsid w:val="58CF5213"/>
    <w:rsid w:val="5AAE2C06"/>
    <w:rsid w:val="5B5A2D8E"/>
    <w:rsid w:val="5B85620A"/>
    <w:rsid w:val="5BE318D4"/>
    <w:rsid w:val="5C08232A"/>
    <w:rsid w:val="62C109B8"/>
    <w:rsid w:val="62F37800"/>
    <w:rsid w:val="63FE70AD"/>
    <w:rsid w:val="64EE6A20"/>
    <w:rsid w:val="66734E89"/>
    <w:rsid w:val="669E7FD2"/>
    <w:rsid w:val="66B83C0F"/>
    <w:rsid w:val="6A3452AB"/>
    <w:rsid w:val="6A4D070F"/>
    <w:rsid w:val="6B4F2206"/>
    <w:rsid w:val="6BF2418B"/>
    <w:rsid w:val="6D1254AA"/>
    <w:rsid w:val="6DD644F6"/>
    <w:rsid w:val="6DE07122"/>
    <w:rsid w:val="6E1868BC"/>
    <w:rsid w:val="6EFC61DE"/>
    <w:rsid w:val="6FB40867"/>
    <w:rsid w:val="73F42C09"/>
    <w:rsid w:val="77712422"/>
    <w:rsid w:val="79876FEC"/>
    <w:rsid w:val="7D626CDB"/>
    <w:rsid w:val="7D8A2C07"/>
    <w:rsid w:val="7DEC4FAE"/>
    <w:rsid w:val="7E3D11A2"/>
    <w:rsid w:val="7E470AF8"/>
    <w:rsid w:val="7E9A1E77"/>
    <w:rsid w:val="7EBC3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Arial Unicode MS" w:hAnsi="Arial Unicode MS" w:eastAsia="Arial Unicode MS" w:cs="Arial Unicode MS"/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qFormat/>
    <w:uiPriority w:val="0"/>
    <w:rPr>
      <w:b/>
    </w:rPr>
  </w:style>
  <w:style w:type="character" w:customStyle="1" w:styleId="11">
    <w:name w:val="正文文本 字符"/>
    <w:basedOn w:val="9"/>
    <w:link w:val="3"/>
    <w:qFormat/>
    <w:uiPriority w:val="1"/>
    <w:rPr>
      <w:rFonts w:ascii="宋体" w:hAnsi="Calibri" w:eastAsia="宋体" w:cs="宋体"/>
      <w:sz w:val="24"/>
      <w:szCs w:val="24"/>
    </w:rPr>
  </w:style>
  <w:style w:type="paragraph" w:customStyle="1" w:styleId="12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Calibri" w:eastAsia="宋体" w:cs="宋体"/>
      <w:kern w:val="0"/>
      <w:sz w:val="24"/>
    </w:rPr>
  </w:style>
  <w:style w:type="character" w:customStyle="1" w:styleId="13">
    <w:name w:val="标题 1 字符"/>
    <w:basedOn w:val="9"/>
    <w:link w:val="2"/>
    <w:qFormat/>
    <w:uiPriority w:val="0"/>
    <w:rPr>
      <w:rFonts w:ascii="宋体" w:hAnsi="宋体" w:eastAsia="宋体" w:cs="Times New Roman"/>
      <w:b/>
      <w:kern w:val="44"/>
      <w:sz w:val="48"/>
      <w:szCs w:val="48"/>
    </w:rPr>
  </w:style>
  <w:style w:type="paragraph" w:styleId="14">
    <w:name w:val="List Paragraph"/>
    <w:basedOn w:val="1"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1237</Words>
  <Characters>1360</Characters>
  <Lines>12</Lines>
  <Paragraphs>3</Paragraphs>
  <TotalTime>0</TotalTime>
  <ScaleCrop>false</ScaleCrop>
  <LinksUpToDate>false</LinksUpToDate>
  <CharactersWithSpaces>1591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2022-01-30T05:49:00Z</dcterms:created>
  <dc:creator>ooopic</dc:creator>
  <cp:lastModifiedBy>蒙宝.</cp:lastModifiedBy>
  <dcterms:modified xsi:type="dcterms:W3CDTF">2024-09-18T06:05:37Z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6E0409C7447B4961BA57BF08802F546B</vt:lpwstr>
  </property>
</Properties>
</file>