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A0B5CB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46D279EB">
      <w:pPr>
        <w:jc w:val="right"/>
      </w:pPr>
    </w:p>
    <w:p w14:paraId="0960BEC1">
      <w:pPr>
        <w:jc w:val="right"/>
      </w:pPr>
    </w:p>
    <w:p w14:paraId="4BF1D507">
      <w:pPr>
        <w:jc w:val="right"/>
      </w:pPr>
    </w:p>
    <w:p w14:paraId="00F5333D">
      <w:pPr>
        <w:rPr>
          <w:rFonts w:ascii="微软雅黑" w:hAnsi="微软雅黑" w:eastAsia="微软雅黑" w:cs="微软雅黑"/>
        </w:rPr>
      </w:pPr>
    </w:p>
    <w:p w14:paraId="2D4A9FD6">
      <w:pPr>
        <w:rPr>
          <w:rFonts w:ascii="微软雅黑" w:hAnsi="微软雅黑" w:eastAsia="微软雅黑" w:cs="微软雅黑"/>
        </w:rPr>
      </w:pPr>
    </w:p>
    <w:p w14:paraId="53AD023A">
      <w:pPr>
        <w:rPr>
          <w:rFonts w:ascii="微软雅黑" w:hAnsi="微软雅黑" w:eastAsia="微软雅黑" w:cs="微软雅黑"/>
        </w:rPr>
      </w:pPr>
    </w:p>
    <w:p w14:paraId="71268001">
      <w:pPr>
        <w:rPr>
          <w:rFonts w:ascii="微软雅黑" w:hAnsi="微软雅黑" w:eastAsia="微软雅黑" w:cs="微软雅黑"/>
        </w:rPr>
      </w:pPr>
    </w:p>
    <w:p w14:paraId="69E47D87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5567B6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数字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三维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场景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设计》教学大纲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15567B6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数字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三维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场景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设计》教学大纲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2003D71D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04C8F9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影视后期包装方向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904C8F9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影视后期包装方向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576F4BDA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79610B7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379610B7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425B83F9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58A87789">
      <w:pPr>
        <w:rPr>
          <w:rFonts w:ascii="微软雅黑" w:hAnsi="微软雅黑" w:eastAsia="微软雅黑" w:cs="微软雅黑"/>
        </w:rPr>
      </w:pPr>
    </w:p>
    <w:p w14:paraId="35A978C9">
      <w:pPr>
        <w:rPr>
          <w:rFonts w:ascii="微软雅黑" w:hAnsi="微软雅黑" w:eastAsia="微软雅黑" w:cs="微软雅黑"/>
        </w:rPr>
      </w:pPr>
    </w:p>
    <w:p w14:paraId="5D57EADA">
      <w:pPr>
        <w:rPr>
          <w:rFonts w:ascii="微软雅黑" w:hAnsi="微软雅黑" w:eastAsia="微软雅黑" w:cs="微软雅黑"/>
        </w:rPr>
      </w:pPr>
    </w:p>
    <w:p w14:paraId="3ECA8252">
      <w:pPr>
        <w:rPr>
          <w:rFonts w:ascii="微软雅黑" w:hAnsi="微软雅黑" w:eastAsia="微软雅黑" w:cs="微软雅黑"/>
        </w:rPr>
      </w:pPr>
    </w:p>
    <w:p w14:paraId="21B6C92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D971B81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4A07010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333F2DA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7D6C02C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2858D33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A3DDB3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071953B0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2F6F1A61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color w:val="auto"/>
          <w:sz w:val="24"/>
          <w:lang w:val="en-US" w:eastAsia="zh-CN"/>
        </w:rPr>
        <w:t>数字</w:t>
      </w:r>
      <w:r>
        <w:rPr>
          <w:rFonts w:hint="eastAsia" w:ascii="黑体" w:hAnsi="黑体" w:eastAsia="黑体"/>
          <w:sz w:val="24"/>
        </w:rPr>
        <w:t>三维</w:t>
      </w:r>
      <w:r>
        <w:rPr>
          <w:rFonts w:hint="eastAsia" w:ascii="黑体" w:hAnsi="黑体" w:eastAsia="黑体"/>
          <w:sz w:val="24"/>
          <w:lang w:val="en-US" w:eastAsia="zh-CN"/>
        </w:rPr>
        <w:t>场景</w:t>
      </w:r>
      <w:bookmarkStart w:id="0" w:name="_GoBack"/>
      <w:bookmarkEnd w:id="0"/>
      <w:r>
        <w:rPr>
          <w:rFonts w:hint="eastAsia" w:ascii="黑体" w:hAnsi="黑体" w:eastAsia="黑体"/>
          <w:sz w:val="24"/>
        </w:rPr>
        <w:t xml:space="preserve">设计 </w:t>
      </w:r>
    </w:p>
    <w:p w14:paraId="06E32E57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128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65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65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339EDE66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1C7807A9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>学分：</w:t>
      </w:r>
      <w:r>
        <w:rPr>
          <w:rFonts w:hint="eastAsia" w:ascii="黑体" w:hAnsi="黑体" w:eastAsia="黑体"/>
          <w:color w:val="FF0000"/>
          <w:sz w:val="24"/>
          <w:lang w:val="en-US" w:eastAsia="zh-CN"/>
        </w:rPr>
        <w:t>=</w:t>
      </w:r>
      <w:r>
        <w:rPr>
          <w:rFonts w:hint="eastAsia" w:ascii="黑体" w:hAnsi="黑体" w:eastAsia="黑体"/>
          <w:sz w:val="24"/>
        </w:rPr>
        <w:t xml:space="preserve">    </w:t>
      </w:r>
    </w:p>
    <w:p w14:paraId="1CCA2661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00A7A9E5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这门课程主要讲授C4D软件、商业建模、商业制作流程及行业规范，核心内容涵盖NURBS（曲线）模型实战案例、几何模型、C4D材质、及渲染器。</w:t>
      </w:r>
    </w:p>
    <w:p w14:paraId="602CD1BC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1949824C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通过本课程的学习，学生可以了解C4D软件在实际项目中的作用，理解并掌握NURBS（曲线）模型实战案例、几何模型、C4D材质、及渲染器，掌握商业建模、商业制作流程及行业规范操作</w:t>
      </w:r>
    </w:p>
    <w:p w14:paraId="682811C0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33AA36D0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该课程是专业必修课，是《影视包装模型渲染技术》、《影视包装动画技术》《影视包装合成与校色》等相关课程的基础。通过该课程的学习，掌握影视包装的基本原理和技能，为接下来的毕业实习等课程的学习打下基础。</w:t>
      </w:r>
    </w:p>
    <w:p w14:paraId="4969A606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4B0FD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D0F4EC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第一章  </w:t>
            </w:r>
            <w:r>
              <w:rPr>
                <w:rFonts w:hint="eastAsia" w:ascii="黑体" w:hAnsi="黑体" w:eastAsia="黑体" w:cs="宋体"/>
                <w:sz w:val="24"/>
              </w:rPr>
              <w:t>初识C4D</w:t>
            </w:r>
          </w:p>
        </w:tc>
        <w:tc>
          <w:tcPr>
            <w:tcW w:w="1467" w:type="dxa"/>
            <w:vAlign w:val="top"/>
          </w:tcPr>
          <w:p w14:paraId="7454C63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5A66F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6F412A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主要知识点：认识C4D是一款什么样的软件，并掌握C4D的界面、自定义布局与基本功能</w:t>
            </w:r>
          </w:p>
        </w:tc>
        <w:tc>
          <w:tcPr>
            <w:tcW w:w="1467" w:type="dxa"/>
            <w:vAlign w:val="top"/>
          </w:tcPr>
          <w:p w14:paraId="689DCB1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3617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07EA28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重点：为什么要学习C4D软件、C4D的主要用途。</w:t>
            </w:r>
          </w:p>
        </w:tc>
        <w:tc>
          <w:tcPr>
            <w:tcW w:w="1467" w:type="dxa"/>
            <w:vAlign w:val="top"/>
          </w:tcPr>
          <w:p w14:paraId="574AF88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7A51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B77511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难点：了解C4D的有事且知道如何学习C4D</w:t>
            </w:r>
          </w:p>
        </w:tc>
        <w:tc>
          <w:tcPr>
            <w:tcW w:w="1467" w:type="dxa"/>
            <w:vAlign w:val="top"/>
          </w:tcPr>
          <w:p w14:paraId="257BA67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4D07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48CEE5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第一节 </w:t>
            </w:r>
            <w:r>
              <w:rPr>
                <w:rFonts w:hint="eastAsia" w:ascii="黑体" w:hAnsi="黑体" w:eastAsia="黑体"/>
                <w:sz w:val="24"/>
              </w:rPr>
              <w:t>C4D软件</w:t>
            </w:r>
          </w:p>
        </w:tc>
        <w:tc>
          <w:tcPr>
            <w:tcW w:w="1467" w:type="dxa"/>
            <w:vAlign w:val="top"/>
          </w:tcPr>
          <w:p w14:paraId="680DBE4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了解</w:t>
            </w:r>
          </w:p>
        </w:tc>
      </w:tr>
      <w:tr w14:paraId="6729B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D675B9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第二节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C4D界面与自定义布局</w:t>
            </w:r>
          </w:p>
        </w:tc>
        <w:tc>
          <w:tcPr>
            <w:tcW w:w="1467" w:type="dxa"/>
            <w:vAlign w:val="top"/>
          </w:tcPr>
          <w:p w14:paraId="685B24E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D23C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16A8C2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C4D基本操作</w:t>
            </w:r>
          </w:p>
        </w:tc>
        <w:tc>
          <w:tcPr>
            <w:tcW w:w="1467" w:type="dxa"/>
            <w:vAlign w:val="top"/>
          </w:tcPr>
          <w:p w14:paraId="0868F08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058F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9B68D0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几何体模型实战案例</w:t>
            </w:r>
          </w:p>
        </w:tc>
        <w:tc>
          <w:tcPr>
            <w:tcW w:w="1467" w:type="dxa"/>
            <w:vAlign w:val="top"/>
          </w:tcPr>
          <w:p w14:paraId="6F6067A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6B298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1B1C05A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主要知识点：理解运用几何体建模、合成制作方式，并应学会运用其相关工具 </w:t>
            </w:r>
          </w:p>
        </w:tc>
        <w:tc>
          <w:tcPr>
            <w:tcW w:w="1467" w:type="dxa"/>
            <w:vAlign w:val="top"/>
          </w:tcPr>
          <w:p w14:paraId="24DAA57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A93C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7310D9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重点：材质的添加、渲染的制作</w:t>
            </w:r>
          </w:p>
        </w:tc>
        <w:tc>
          <w:tcPr>
            <w:tcW w:w="1467" w:type="dxa"/>
            <w:vAlign w:val="top"/>
          </w:tcPr>
          <w:p w14:paraId="0771B8C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8E58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80EBB8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难点：运用几何体建模</w:t>
            </w:r>
          </w:p>
        </w:tc>
        <w:tc>
          <w:tcPr>
            <w:tcW w:w="1467" w:type="dxa"/>
            <w:vAlign w:val="top"/>
          </w:tcPr>
          <w:p w14:paraId="447BDCC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1CCA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D65D1C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 小汽车模型制作</w:t>
            </w:r>
          </w:p>
        </w:tc>
        <w:tc>
          <w:tcPr>
            <w:tcW w:w="1467" w:type="dxa"/>
            <w:vAlign w:val="top"/>
          </w:tcPr>
          <w:p w14:paraId="72D67E2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D023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E66290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 自行车模型制作</w:t>
            </w:r>
          </w:p>
        </w:tc>
        <w:tc>
          <w:tcPr>
            <w:tcW w:w="1467" w:type="dxa"/>
            <w:vAlign w:val="top"/>
          </w:tcPr>
          <w:p w14:paraId="0D2D374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5AEB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1EF91FF">
            <w:pPr>
              <w:spacing w:line="360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曲线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NURBS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模型实战案例</w:t>
            </w:r>
          </w:p>
        </w:tc>
        <w:tc>
          <w:tcPr>
            <w:tcW w:w="1467" w:type="dxa"/>
            <w:vAlign w:val="top"/>
          </w:tcPr>
          <w:p w14:paraId="1B5B4D6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066BD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093CA94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掌握曲线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NURBS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建模，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且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熟练的使用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曲线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NURBS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完成相关需求的商业模型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及相关工具</w:t>
            </w:r>
          </w:p>
        </w:tc>
        <w:tc>
          <w:tcPr>
            <w:tcW w:w="1467" w:type="dxa"/>
            <w:vAlign w:val="top"/>
          </w:tcPr>
          <w:p w14:paraId="19D05D46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512D7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3067D6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曲线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NURBS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建模</w:t>
            </w:r>
          </w:p>
        </w:tc>
        <w:tc>
          <w:tcPr>
            <w:tcW w:w="1467" w:type="dxa"/>
            <w:vAlign w:val="top"/>
          </w:tcPr>
          <w:p w14:paraId="10D0FB77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43B85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731C69C">
            <w:pPr>
              <w:spacing w:line="360" w:lineRule="auto"/>
              <w:ind w:firstLine="952" w:firstLineChars="397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曲线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NURBS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完成需求的商业模型及相关工具</w:t>
            </w:r>
          </w:p>
        </w:tc>
        <w:tc>
          <w:tcPr>
            <w:tcW w:w="1467" w:type="dxa"/>
            <w:vAlign w:val="top"/>
          </w:tcPr>
          <w:p w14:paraId="7228BCC3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9413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E9EF96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第一节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曲线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NURBS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工具</w:t>
            </w:r>
          </w:p>
        </w:tc>
        <w:tc>
          <w:tcPr>
            <w:tcW w:w="1467" w:type="dxa"/>
            <w:vAlign w:val="top"/>
          </w:tcPr>
          <w:p w14:paraId="3FCFF15B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掌握应用</w:t>
            </w:r>
          </w:p>
        </w:tc>
      </w:tr>
      <w:tr w14:paraId="196DF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09A463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 养生壶建模</w:t>
            </w:r>
          </w:p>
        </w:tc>
        <w:tc>
          <w:tcPr>
            <w:tcW w:w="1467" w:type="dxa"/>
            <w:vAlign w:val="top"/>
          </w:tcPr>
          <w:p w14:paraId="1713DAFE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掌握应用</w:t>
            </w:r>
          </w:p>
        </w:tc>
      </w:tr>
      <w:tr w14:paraId="3F5DC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8805C3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几何建模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案例</w:t>
            </w:r>
          </w:p>
        </w:tc>
        <w:tc>
          <w:tcPr>
            <w:tcW w:w="1467" w:type="dxa"/>
            <w:vAlign w:val="top"/>
          </w:tcPr>
          <w:p w14:paraId="78664B8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6026B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BBB781A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主要知识点：了解掌握多边形点线面编辑建模及相关工具，理解并能熟练的完成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模型</w:t>
            </w:r>
          </w:p>
        </w:tc>
        <w:tc>
          <w:tcPr>
            <w:tcW w:w="1467" w:type="dxa"/>
            <w:vAlign w:val="top"/>
          </w:tcPr>
          <w:p w14:paraId="2AA7050B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1E51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1575FC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重点：能够熟练的时候用点线面进行建模，点线面编辑建模及相关工具的使用</w:t>
            </w:r>
          </w:p>
        </w:tc>
        <w:tc>
          <w:tcPr>
            <w:tcW w:w="1467" w:type="dxa"/>
            <w:vAlign w:val="top"/>
          </w:tcPr>
          <w:p w14:paraId="5418636F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6882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04DB34C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难点：熟练的完成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模型</w:t>
            </w:r>
          </w:p>
        </w:tc>
        <w:tc>
          <w:tcPr>
            <w:tcW w:w="1467" w:type="dxa"/>
            <w:vAlign w:val="top"/>
          </w:tcPr>
          <w:p w14:paraId="151A8192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7A5AF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7767505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滑板车模型</w:t>
            </w:r>
          </w:p>
        </w:tc>
        <w:tc>
          <w:tcPr>
            <w:tcW w:w="1467" w:type="dxa"/>
            <w:vAlign w:val="top"/>
          </w:tcPr>
          <w:p w14:paraId="1035FC5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6466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4D87C81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艺术瓶子建模</w:t>
            </w:r>
          </w:p>
        </w:tc>
        <w:tc>
          <w:tcPr>
            <w:tcW w:w="1467" w:type="dxa"/>
            <w:vAlign w:val="top"/>
          </w:tcPr>
          <w:p w14:paraId="7852104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8020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9C7B786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第五章  C4D技巧模型案例</w:t>
            </w:r>
          </w:p>
        </w:tc>
        <w:tc>
          <w:tcPr>
            <w:tcW w:w="1467" w:type="dxa"/>
            <w:vAlign w:val="top"/>
          </w:tcPr>
          <w:p w14:paraId="64CAA2EE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242F0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BCF164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主要知识点：了解掌握C4D中晶体、阵列、效果器、克隆等方法建模</w:t>
            </w:r>
          </w:p>
        </w:tc>
        <w:tc>
          <w:tcPr>
            <w:tcW w:w="1467" w:type="dxa"/>
            <w:vAlign w:val="top"/>
          </w:tcPr>
          <w:p w14:paraId="238A82C6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24B2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33F22C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重点：C4D中技巧建模及相关工具的使用</w:t>
            </w:r>
          </w:p>
        </w:tc>
        <w:tc>
          <w:tcPr>
            <w:tcW w:w="1467" w:type="dxa"/>
            <w:vAlign w:val="top"/>
          </w:tcPr>
          <w:p w14:paraId="287C3970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1EFD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  <w:vAlign w:val="top"/>
          </w:tcPr>
          <w:p w14:paraId="35B3B13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难点：效果器、克隆等方法建模</w:t>
            </w:r>
          </w:p>
        </w:tc>
        <w:tc>
          <w:tcPr>
            <w:tcW w:w="1467" w:type="dxa"/>
            <w:vAlign w:val="top"/>
          </w:tcPr>
          <w:p w14:paraId="6335AC57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5315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08924A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变形器</w:t>
            </w:r>
          </w:p>
        </w:tc>
        <w:tc>
          <w:tcPr>
            <w:tcW w:w="1467" w:type="dxa"/>
            <w:vAlign w:val="top"/>
          </w:tcPr>
          <w:p w14:paraId="3BC80395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8FBA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891665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酷炫色子</w:t>
            </w:r>
          </w:p>
        </w:tc>
        <w:tc>
          <w:tcPr>
            <w:tcW w:w="1467" w:type="dxa"/>
            <w:vAlign w:val="top"/>
          </w:tcPr>
          <w:p w14:paraId="1A8124A2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9796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A4C0A4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第六章  C4D材质</w:t>
            </w:r>
          </w:p>
        </w:tc>
        <w:tc>
          <w:tcPr>
            <w:tcW w:w="1467" w:type="dxa"/>
            <w:vAlign w:val="top"/>
          </w:tcPr>
          <w:p w14:paraId="1747364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2C37A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EE9746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主要知识点：了解掌握C4D中常用的材质调节方法</w:t>
            </w:r>
          </w:p>
        </w:tc>
        <w:tc>
          <w:tcPr>
            <w:tcW w:w="1467" w:type="dxa"/>
            <w:vAlign w:val="top"/>
          </w:tcPr>
          <w:p w14:paraId="1C838C1C">
            <w:pPr>
              <w:spacing w:line="360" w:lineRule="auto"/>
              <w:rPr>
                <w:rFonts w:ascii="黑体" w:hAnsi="黑体" w:eastAsia="黑体"/>
                <w:color w:val="000000"/>
                <w:sz w:val="24"/>
              </w:rPr>
            </w:pPr>
          </w:p>
        </w:tc>
      </w:tr>
      <w:tr w14:paraId="7DED2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6384BE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重点：C4D中常用的材质调节方法及相关工具的使用</w:t>
            </w:r>
          </w:p>
        </w:tc>
        <w:tc>
          <w:tcPr>
            <w:tcW w:w="1467" w:type="dxa"/>
            <w:vAlign w:val="top"/>
          </w:tcPr>
          <w:p w14:paraId="1BA2D77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5E6C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E11776D">
            <w:pPr>
              <w:spacing w:line="360" w:lineRule="auto"/>
              <w:ind w:firstLine="952" w:firstLineChars="397"/>
              <w:rPr>
                <w:rStyle w:val="10"/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难点：玻璃、塑料、金属、SSS材质的调节方法</w:t>
            </w:r>
          </w:p>
        </w:tc>
        <w:tc>
          <w:tcPr>
            <w:tcW w:w="1467" w:type="dxa"/>
            <w:vAlign w:val="top"/>
          </w:tcPr>
          <w:p w14:paraId="76926538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CC6F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6F4A13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材质球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各个通道</w:t>
            </w:r>
          </w:p>
        </w:tc>
        <w:tc>
          <w:tcPr>
            <w:tcW w:w="1467" w:type="dxa"/>
            <w:vAlign w:val="top"/>
          </w:tcPr>
          <w:p w14:paraId="7BA2DC8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2A6A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28" w:type="dxa"/>
            <w:vAlign w:val="top"/>
          </w:tcPr>
          <w:p w14:paraId="48A1343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节 C4D材质讲解</w:t>
            </w:r>
          </w:p>
        </w:tc>
        <w:tc>
          <w:tcPr>
            <w:tcW w:w="1467" w:type="dxa"/>
            <w:vAlign w:val="top"/>
          </w:tcPr>
          <w:p w14:paraId="290E4924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4B6C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A8D896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七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C4D渲染</w:t>
            </w:r>
          </w:p>
        </w:tc>
        <w:tc>
          <w:tcPr>
            <w:tcW w:w="1467" w:type="dxa"/>
            <w:vAlign w:val="top"/>
          </w:tcPr>
          <w:p w14:paraId="62AAA0DE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19F15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7AF2B3A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主要知识点：了解掌握C4D中自带的渲染器使用及相关功能的使用</w:t>
            </w:r>
          </w:p>
        </w:tc>
        <w:tc>
          <w:tcPr>
            <w:tcW w:w="1467" w:type="dxa"/>
            <w:vAlign w:val="top"/>
          </w:tcPr>
          <w:p w14:paraId="642FB239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3C7EB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BAAFC4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重点：C4D中自带的渲染器的使用 </w:t>
            </w:r>
          </w:p>
        </w:tc>
        <w:tc>
          <w:tcPr>
            <w:tcW w:w="1467" w:type="dxa"/>
            <w:vAlign w:val="top"/>
          </w:tcPr>
          <w:p w14:paraId="240F6733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43ACB9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82C854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难点：物理渲染器的使用与输出 </w:t>
            </w:r>
          </w:p>
        </w:tc>
        <w:tc>
          <w:tcPr>
            <w:tcW w:w="1467" w:type="dxa"/>
            <w:vAlign w:val="top"/>
          </w:tcPr>
          <w:p w14:paraId="12C78964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435AE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8805B4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C4D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渲染器</w:t>
            </w:r>
          </w:p>
        </w:tc>
        <w:tc>
          <w:tcPr>
            <w:tcW w:w="1467" w:type="dxa"/>
            <w:vAlign w:val="top"/>
          </w:tcPr>
          <w:p w14:paraId="5DAFEB6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D90B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D77452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渲染器的使用与输出</w:t>
            </w:r>
          </w:p>
        </w:tc>
        <w:tc>
          <w:tcPr>
            <w:tcW w:w="1467" w:type="dxa"/>
            <w:vAlign w:val="top"/>
          </w:tcPr>
          <w:p w14:paraId="12903BE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7E31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AC4B3F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八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商业实战案例</w:t>
            </w:r>
          </w:p>
        </w:tc>
        <w:tc>
          <w:tcPr>
            <w:tcW w:w="1467" w:type="dxa"/>
            <w:vAlign w:val="top"/>
          </w:tcPr>
          <w:p w14:paraId="0FD39C4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2C10C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4F651C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掌握商业模型的布线、材质、等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整规范流程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1467" w:type="dxa"/>
            <w:vAlign w:val="top"/>
          </w:tcPr>
          <w:p w14:paraId="4D81D439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24189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807462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重点：模型布线方式及行业标准</w:t>
            </w:r>
          </w:p>
        </w:tc>
        <w:tc>
          <w:tcPr>
            <w:tcW w:w="1467" w:type="dxa"/>
            <w:vAlign w:val="top"/>
          </w:tcPr>
          <w:p w14:paraId="503ED7DF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5681E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E03E22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商业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模型面数控制及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材质、灯光</w:t>
            </w:r>
          </w:p>
        </w:tc>
        <w:tc>
          <w:tcPr>
            <w:tcW w:w="1467" w:type="dxa"/>
            <w:vAlign w:val="top"/>
          </w:tcPr>
          <w:p w14:paraId="2D01D0AE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09211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FBE04A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音箱案例</w:t>
            </w:r>
          </w:p>
        </w:tc>
        <w:tc>
          <w:tcPr>
            <w:tcW w:w="1467" w:type="dxa"/>
            <w:vAlign w:val="top"/>
          </w:tcPr>
          <w:p w14:paraId="5A3A21F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E36F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D5EC6D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彩色熔岩字体</w:t>
            </w:r>
          </w:p>
        </w:tc>
        <w:tc>
          <w:tcPr>
            <w:tcW w:w="1467" w:type="dxa"/>
            <w:vAlign w:val="top"/>
          </w:tcPr>
          <w:p w14:paraId="029ABF1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</w:tbl>
    <w:p w14:paraId="3DE09BBB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8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3866D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CF359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8414F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68C68DD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90963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5B6903B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71C37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15348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DF13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C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66C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22E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226EA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6B9B2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BE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189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F5C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51C13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D8BFD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F04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C6A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3C6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0478B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319BE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0E2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75D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952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7AD76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3D1A6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ECA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8A4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E40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0CABE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EFB9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53A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B75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57E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717F0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264E4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第七章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61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3E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94D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1ECAD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EE74C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</w:t>
            </w:r>
            <w:r>
              <w:rPr>
                <w:rFonts w:hint="eastAsia" w:ascii="黑体" w:hAnsi="黑体" w:eastAsia="黑体"/>
                <w:lang w:val="en-US" w:eastAsia="zh-CN"/>
              </w:rPr>
              <w:t>八</w:t>
            </w:r>
            <w:r>
              <w:rPr>
                <w:rFonts w:hint="eastAsia" w:ascii="黑体" w:hAnsi="黑体" w:eastAsia="黑体"/>
              </w:rPr>
              <w:t>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DF3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20C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EF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1DF52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66A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82AD7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E895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46C2C9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128</w:t>
            </w:r>
          </w:p>
        </w:tc>
      </w:tr>
    </w:tbl>
    <w:p w14:paraId="742EB2CB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04882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084499F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573AC24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09A1C09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7469E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4BBDA91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63C6C39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28C2732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0D285CBD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15115B56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default" w:ascii="黑体" w:hAnsi="黑体" w:eastAsia="黑体" w:cs="Tahoma"/>
          <w:b w:val="0"/>
          <w:bCs/>
          <w:sz w:val="22"/>
          <w:szCs w:val="22"/>
          <w:shd w:val="clear" w:color="auto" w:fill="FFFFFF"/>
        </w:rPr>
      </w:pPr>
      <w:r>
        <w:rPr>
          <w:rFonts w:ascii="黑体" w:hAnsi="黑体" w:eastAsia="黑体"/>
          <w:sz w:val="24"/>
        </w:rPr>
        <w:t>1.</w:t>
      </w:r>
      <w:r>
        <w:rPr>
          <w:rFonts w:hint="eastAsia" w:ascii="黑体" w:hAnsi="黑体" w:eastAsia="黑体"/>
          <w:sz w:val="24"/>
        </w:rPr>
        <w:t>《 Cinema 4D+After Effects视频包装高端案例精讲》庄华伟出版社:中国铁道出版社出，2020年03月出版，作者中国崔欧伦。</w:t>
      </w:r>
      <w:r>
        <w:rPr>
          <w:rFonts w:ascii="黑体" w:hAnsi="黑体" w:eastAsia="黑体" w:cs="Tahoma"/>
          <w:b w:val="0"/>
          <w:bCs/>
          <w:sz w:val="22"/>
          <w:szCs w:val="22"/>
          <w:shd w:val="clear" w:color="auto" w:fill="FFFFFF"/>
        </w:rPr>
        <w:t>。</w:t>
      </w:r>
    </w:p>
    <w:p w14:paraId="155E8851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EEA72E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09E28B0">
    <w:pPr>
      <w:pStyle w:val="5"/>
    </w:pPr>
  </w:p>
  <w:p w14:paraId="150989AD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ABF510E"/>
    <w:rsid w:val="0AED5D0F"/>
    <w:rsid w:val="0B6D2AAD"/>
    <w:rsid w:val="127D2E09"/>
    <w:rsid w:val="12E3308D"/>
    <w:rsid w:val="19263CD4"/>
    <w:rsid w:val="30FD0E07"/>
    <w:rsid w:val="39296CF1"/>
    <w:rsid w:val="3E7F6A62"/>
    <w:rsid w:val="4269685C"/>
    <w:rsid w:val="47D50858"/>
    <w:rsid w:val="4ACB00B3"/>
    <w:rsid w:val="4DB473A2"/>
    <w:rsid w:val="50722D7F"/>
    <w:rsid w:val="50A0710B"/>
    <w:rsid w:val="52E144DC"/>
    <w:rsid w:val="52F71A4E"/>
    <w:rsid w:val="55E53FF3"/>
    <w:rsid w:val="5C045110"/>
    <w:rsid w:val="62F37800"/>
    <w:rsid w:val="6F6D2C38"/>
    <w:rsid w:val="76890461"/>
    <w:rsid w:val="79D34101"/>
    <w:rsid w:val="7CBA4636"/>
    <w:rsid w:val="7DEC4FAE"/>
    <w:rsid w:val="7E0D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1354</Words>
  <Characters>1490</Characters>
  <Lines>12</Lines>
  <Paragraphs>3</Paragraphs>
  <TotalTime>1</TotalTime>
  <ScaleCrop>false</ScaleCrop>
  <LinksUpToDate>false</LinksUpToDate>
  <CharactersWithSpaces>1646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2024-09-18T06:20:10Z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224601FEEBF04FBDAB4499460A2AF3EC</vt:lpwstr>
  </property>
</Properties>
</file>