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5FF9AF">
      <w:pPr>
        <w:jc w:val="right"/>
      </w:pPr>
      <w:r>
        <w:rPr>
          <w:rFonts w:hint="eastAsia" w:ascii="微软雅黑" w:hAnsi="微软雅黑" w:eastAsia="微软雅黑" w:cs="微软雅黑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-1703705</wp:posOffset>
            </wp:positionH>
            <wp:positionV relativeFrom="paragraph">
              <wp:posOffset>-1151890</wp:posOffset>
            </wp:positionV>
            <wp:extent cx="10332085" cy="13773785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6" r="12506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137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t xml:space="preserve"> </w:t>
      </w:r>
      <w:r>
        <w:rPr>
          <w:rFonts w:ascii="微软雅黑" w:hAnsi="微软雅黑" w:eastAsia="微软雅黑" w:cs="微软雅黑"/>
        </w:rPr>
        <w:softHyphen/>
      </w:r>
    </w:p>
    <w:p w14:paraId="2CB2C237">
      <w:pPr>
        <w:jc w:val="right"/>
      </w:pPr>
    </w:p>
    <w:p w14:paraId="3BBF77CE">
      <w:pPr>
        <w:jc w:val="right"/>
      </w:pPr>
    </w:p>
    <w:p w14:paraId="1E84B5DD">
      <w:pPr>
        <w:jc w:val="right"/>
      </w:pPr>
    </w:p>
    <w:p w14:paraId="330D4EFF">
      <w:pPr>
        <w:rPr>
          <w:rFonts w:ascii="微软雅黑" w:hAnsi="微软雅黑" w:eastAsia="微软雅黑" w:cs="微软雅黑"/>
        </w:rPr>
      </w:pPr>
    </w:p>
    <w:p w14:paraId="3DBBDBAE">
      <w:pPr>
        <w:rPr>
          <w:rFonts w:ascii="微软雅黑" w:hAnsi="微软雅黑" w:eastAsia="微软雅黑" w:cs="微软雅黑"/>
        </w:rPr>
      </w:pPr>
    </w:p>
    <w:p w14:paraId="680744EA">
      <w:pPr>
        <w:rPr>
          <w:rFonts w:ascii="微软雅黑" w:hAnsi="微软雅黑" w:eastAsia="微软雅黑" w:cs="微软雅黑"/>
        </w:rPr>
      </w:pPr>
    </w:p>
    <w:p w14:paraId="2D1A4BFF">
      <w:pPr>
        <w:rPr>
          <w:rFonts w:ascii="微软雅黑" w:hAnsi="微软雅黑" w:eastAsia="微软雅黑" w:cs="微软雅黑"/>
        </w:rPr>
      </w:pPr>
    </w:p>
    <w:p w14:paraId="7C2C6481">
      <w:pPr>
        <w:jc w:val="center"/>
        <w:rPr>
          <w:rFonts w:ascii="方正大黑_GBK" w:eastAsia="方正大黑_GBK"/>
          <w:color w:val="2E75B6" w:themeColor="accent1" w:themeShade="BF"/>
          <w:sz w:val="32"/>
        </w:rPr>
      </w:pP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755650</wp:posOffset>
                </wp:positionH>
                <wp:positionV relativeFrom="paragraph">
                  <wp:posOffset>194945</wp:posOffset>
                </wp:positionV>
                <wp:extent cx="6410960" cy="861060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1034" cy="8612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741132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《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虚拟场景搭建技术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》教学大纲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9.5pt;margin-top:15.35pt;height:67.8pt;width:504.8pt;mso-position-horizontal-relative:page;z-index:-251657216;mso-width-relative:page;mso-height-relative:page;" filled="f" stroked="f" coordsize="21600,21600" o:gfxdata="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i0K152wAAAAsBAAAPAAAAAAAAAAEAIAAAACIAAABk&#10;cnMvZG93bnJldi54bWxQSwECFAAUAAAACACHTuJAHDwtdDwCAABm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4D741132">
                      <w:pPr>
                        <w:jc w:val="center"/>
                        <w:rPr>
                          <w:rFonts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《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虚拟场景搭建技术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》教学大纲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color w:val="01A99D"/>
          <w:sz w:val="32"/>
        </w:rPr>
        <w:t xml:space="preserve">              </w:t>
      </w:r>
      <w:r>
        <w:rPr>
          <w:rFonts w:hint="eastAsia" w:ascii="方正大黑_GBK" w:eastAsia="方正大黑_GBK"/>
          <w:color w:val="F08300"/>
          <w:sz w:val="32"/>
        </w:rPr>
        <w:t>产品手册系列之</w:t>
      </w:r>
    </w:p>
    <w:p w14:paraId="44BEA5F0">
      <w:pPr>
        <w:rPr>
          <w:rFonts w:ascii="微软雅黑" w:hAnsi="微软雅黑" w:eastAsia="微软雅黑" w:cs="微软雅黑"/>
        </w:rPr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2548890</wp:posOffset>
                </wp:positionH>
                <wp:positionV relativeFrom="paragraph">
                  <wp:posOffset>385445</wp:posOffset>
                </wp:positionV>
                <wp:extent cx="2725420" cy="586105"/>
                <wp:effectExtent l="0" t="0" r="0" b="444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420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080CE7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  <w:t>影视后期包装方向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0.7pt;margin-top:30.35pt;height:46.15pt;width:214.6pt;z-index:-251655168;mso-width-relative:page;mso-height-relative:page;" filled="f" stroked="f" coordsize="21600,21600" o:gfxdata="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n0Ms4toAAAAKAQAADwAAAAAAAAABACAAAAAiAAAAZHJz&#10;L2Rvd25yZXYueG1sUEsBAhQAFAAAAAgAh07iQDB/GQ87AgAAZgQAAA4AAAAAAAAAAQAgAAAAKQ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75080CE7">
                      <w:pPr>
                        <w:jc w:val="center"/>
                        <w:rPr>
                          <w:rFonts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  <w:t>影视后期包装方向</w:t>
                      </w:r>
                    </w:p>
                  </w:txbxContent>
                </v:textbox>
              </v:shape>
            </w:pict>
          </mc:Fallback>
        </mc:AlternateContent>
      </w:r>
    </w:p>
    <w:p w14:paraId="1BC7A8FF">
      <w:pPr>
        <w:rPr>
          <w:rFonts w:ascii="方正准圆简体" w:eastAsia="方正准圆简体"/>
          <w:color w:val="F08300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30480</wp:posOffset>
                </wp:positionV>
                <wp:extent cx="1984375" cy="394335"/>
                <wp:effectExtent l="0" t="0" r="0" b="5715"/>
                <wp:wrapNone/>
                <wp:docPr id="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4076" cy="394335"/>
                        </a:xfrm>
                        <a:prstGeom prst="rect">
                          <a:avLst/>
                        </a:prstGeom>
                        <a:solidFill>
                          <a:srgbClr val="F08300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1EC14D8">
                            <w:pPr>
                              <w:spacing w:line="360" w:lineRule="auto"/>
                              <w:jc w:val="center"/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数字</w:t>
                            </w: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媒体技术</w:t>
                            </w:r>
                            <w:r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专业</w:t>
                            </w:r>
                          </w:p>
                        </w:txbxContent>
                      </wps:txbx>
                      <wps:bodyPr rot="0" vert="horz" wrap="square" lIns="108000" tIns="0" rIns="91440" bIns="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64.15pt;margin-top:2.4pt;height:31.05pt;width:156.25pt;z-index:251660288;v-text-anchor:middle;mso-width-relative:page;mso-height-relative:page;" fillcolor="#F08300" filled="t" stroked="f" coordsize="21600,21600" o:gfxdata="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KXWRUtcAAAAIAQAADwAAAAAAAAABACAAAAAiAAAAZHJz&#10;L2Rvd25yZXYueG1sUEsBAhQAFAAAAAgAh07iQDm5qfo+AgAATgQAAA4AAAAAAAAAAQAgAAAAJgEA&#10;AGRycy9lMm9Eb2MueG1sUEsFBgAAAAAGAAYAWQEAANYFAAAAAA==&#10;">
                <v:fill on="t" focussize="0,0"/>
                <v:stroke on="f" miterlimit="8" joinstyle="miter"/>
                <v:imagedata o:title=""/>
                <o:lock v:ext="edit" aspectratio="f"/>
                <v:textbox inset="3mm,0mm,2.54mm,0mm">
                  <w:txbxContent>
                    <w:p w14:paraId="41EC14D8">
                      <w:pPr>
                        <w:spacing w:line="360" w:lineRule="auto"/>
                        <w:jc w:val="center"/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数字</w:t>
                      </w: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媒体技术</w:t>
                      </w:r>
                      <w:r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专业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color w:val="2E75B6" w:themeColor="accent1" w:themeShade="BF"/>
          <w:sz w:val="32"/>
        </w:rPr>
        <w:t xml:space="preserve">                    </w:t>
      </w:r>
      <w:r>
        <w:rPr>
          <w:color w:val="2E75B6" w:themeColor="accent1" w:themeShade="BF"/>
          <w:sz w:val="32"/>
        </w:rPr>
        <w:t xml:space="preserve"> </w:t>
      </w:r>
    </w:p>
    <w:p w14:paraId="466A9B14">
      <w:pPr>
        <w:jc w:val="center"/>
        <w:rPr>
          <w:color w:val="2E75B6" w:themeColor="accent1" w:themeShade="BF"/>
          <w:sz w:val="32"/>
        </w:rPr>
      </w:pPr>
      <w:r>
        <w:rPr>
          <w:rFonts w:hint="eastAsia"/>
          <w:color w:val="2E75B6" w:themeColor="accent1" w:themeShade="BF"/>
          <w:sz w:val="32"/>
        </w:rPr>
        <w:t xml:space="preserve">             </w:t>
      </w:r>
    </w:p>
    <w:p w14:paraId="2340DDA0">
      <w:pPr>
        <w:rPr>
          <w:rFonts w:ascii="微软雅黑" w:hAnsi="微软雅黑" w:eastAsia="微软雅黑" w:cs="微软雅黑"/>
        </w:rPr>
      </w:pPr>
    </w:p>
    <w:p w14:paraId="4EF3F611">
      <w:pPr>
        <w:rPr>
          <w:rFonts w:ascii="微软雅黑" w:hAnsi="微软雅黑" w:eastAsia="微软雅黑" w:cs="微软雅黑"/>
        </w:rPr>
      </w:pPr>
    </w:p>
    <w:p w14:paraId="7EC83BF8">
      <w:pPr>
        <w:rPr>
          <w:rFonts w:ascii="微软雅黑" w:hAnsi="微软雅黑" w:eastAsia="微软雅黑" w:cs="微软雅黑"/>
        </w:rPr>
      </w:pPr>
    </w:p>
    <w:p w14:paraId="77989E0B">
      <w:pPr>
        <w:rPr>
          <w:rFonts w:ascii="微软雅黑" w:hAnsi="微软雅黑" w:eastAsia="微软雅黑" w:cs="微软雅黑"/>
        </w:rPr>
      </w:pPr>
    </w:p>
    <w:p w14:paraId="15E2B95A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7706939F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5BD632F0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3B939597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40DA9B51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0054039B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74DB4D8D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4AF95476">
      <w:pPr>
        <w:tabs>
          <w:tab w:val="left" w:pos="5040"/>
        </w:tabs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63512011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宋体" w:hAnsi="宋体"/>
          <w:sz w:val="24"/>
        </w:rPr>
        <w:t>课</w:t>
      </w:r>
      <w:r>
        <w:rPr>
          <w:rFonts w:hint="eastAsia" w:ascii="黑体" w:hAnsi="黑体" w:eastAsia="黑体"/>
          <w:sz w:val="24"/>
        </w:rPr>
        <w:t>程名称</w:t>
      </w:r>
      <w:r>
        <w:rPr>
          <w:rFonts w:hint="eastAsia" w:ascii="黑体" w:hAnsi="黑体" w:eastAsia="黑体"/>
          <w:color w:val="002060"/>
          <w:sz w:val="24"/>
        </w:rPr>
        <w:t>：</w:t>
      </w:r>
      <w:r>
        <w:rPr>
          <w:rFonts w:hint="eastAsia" w:ascii="黑体" w:hAnsi="黑体" w:eastAsia="黑体"/>
          <w:sz w:val="24"/>
          <w:lang w:val="en-US" w:eastAsia="zh-CN"/>
        </w:rPr>
        <w:t>虚拟场景搭建技术</w:t>
      </w:r>
      <w:bookmarkStart w:id="0" w:name="_GoBack"/>
      <w:bookmarkEnd w:id="0"/>
      <w:r>
        <w:rPr>
          <w:rFonts w:hint="eastAsia" w:ascii="黑体" w:hAnsi="黑体" w:eastAsia="黑体"/>
          <w:sz w:val="24"/>
        </w:rPr>
        <w:t xml:space="preserve"> </w:t>
      </w:r>
    </w:p>
    <w:p w14:paraId="32619726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总学时：</w:t>
      </w:r>
      <w:r>
        <w:rPr>
          <w:rFonts w:hint="eastAsia" w:ascii="黑体" w:hAnsi="黑体" w:eastAsia="黑体"/>
          <w:sz w:val="24"/>
          <w:lang w:val="en-US" w:eastAsia="zh-CN"/>
        </w:rPr>
        <w:t>128</w:t>
      </w:r>
      <w:r>
        <w:rPr>
          <w:rFonts w:hint="eastAsia" w:ascii="黑体" w:hAnsi="黑体" w:eastAsia="黑体"/>
          <w:sz w:val="24"/>
        </w:rPr>
        <w:t>（理论学时：</w:t>
      </w:r>
      <w:r>
        <w:rPr>
          <w:rFonts w:hint="eastAsia" w:ascii="黑体" w:hAnsi="黑体" w:eastAsia="黑体"/>
          <w:sz w:val="24"/>
          <w:lang w:val="en-US" w:eastAsia="zh-CN"/>
        </w:rPr>
        <w:t>65</w:t>
      </w:r>
      <w:r>
        <w:rPr>
          <w:rFonts w:hint="eastAsia" w:ascii="黑体" w:hAnsi="黑体" w:eastAsia="黑体"/>
          <w:sz w:val="24"/>
        </w:rPr>
        <w:t>；实践学时：</w:t>
      </w:r>
      <w:r>
        <w:rPr>
          <w:rFonts w:hint="eastAsia" w:ascii="黑体" w:hAnsi="黑体" w:eastAsia="黑体"/>
          <w:sz w:val="24"/>
          <w:lang w:val="en-US" w:eastAsia="zh-CN"/>
        </w:rPr>
        <w:t>65</w:t>
      </w:r>
      <w:r>
        <w:rPr>
          <w:rFonts w:hint="eastAsia" w:ascii="黑体" w:hAnsi="黑体" w:eastAsia="黑体"/>
          <w:sz w:val="24"/>
        </w:rPr>
        <w:t xml:space="preserve">）   </w:t>
      </w:r>
    </w:p>
    <w:p w14:paraId="24286DA8">
      <w:pPr>
        <w:spacing w:line="360" w:lineRule="auto"/>
        <w:rPr>
          <w:rFonts w:ascii="黑体" w:hAnsi="黑体" w:eastAsia="黑体"/>
          <w:color w:val="FF0000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课程类型：专业核心课  </w:t>
      </w:r>
    </w:p>
    <w:p w14:paraId="445EBE61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>学分：</w:t>
      </w:r>
      <w:r>
        <w:rPr>
          <w:rFonts w:hint="eastAsia" w:ascii="黑体" w:hAnsi="黑体" w:eastAsia="黑体"/>
          <w:color w:val="FF0000"/>
          <w:sz w:val="24"/>
          <w:lang w:val="en-US" w:eastAsia="zh-CN"/>
        </w:rPr>
        <w:t>=</w:t>
      </w:r>
      <w:r>
        <w:rPr>
          <w:rFonts w:hint="eastAsia" w:ascii="黑体" w:hAnsi="黑体" w:eastAsia="黑体"/>
          <w:sz w:val="24"/>
        </w:rPr>
        <w:t xml:space="preserve">    </w:t>
      </w:r>
    </w:p>
    <w:p w14:paraId="04182306">
      <w:pPr>
        <w:spacing w:line="360" w:lineRule="auto"/>
        <w:rPr>
          <w:rFonts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一、课程简介</w:t>
      </w:r>
    </w:p>
    <w:p w14:paraId="7380F7E7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这门课程主要讲授C4D软件、商业建模、商业制作流程及行业规范，核心内容涵盖NURBS（曲线）模型实战案例、几何模型、C4D材质、及渲染器。</w:t>
      </w:r>
    </w:p>
    <w:p w14:paraId="2015582E"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本课程的教学目标</w:t>
      </w:r>
    </w:p>
    <w:p w14:paraId="178D6744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通过本课程的学习，学生可以了解C4D软件在实际项目中的作用，理解并掌握NURBS（曲线）模型实战案例、几何模型、C4D材质、及渲染器，掌握商业建模、商业制作流程及行业规范操作</w:t>
      </w:r>
    </w:p>
    <w:p w14:paraId="1E41C39E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三、本课程与其他课程的关系</w:t>
      </w:r>
    </w:p>
    <w:p w14:paraId="7A0E7AE4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该课程是专业必修课，是《影视包装模型渲染技术》、《影视包装动画技术》《影视包装合成与校色》等相关课程的基础。通过该课程的学习，掌握影视包装的基本原理和技能，为接下来的毕业实习等课程的学习打下基础。</w:t>
      </w:r>
    </w:p>
    <w:p w14:paraId="7A2C5B87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四、课程内容</w:t>
      </w:r>
    </w:p>
    <w:tbl>
      <w:tblPr>
        <w:tblStyle w:val="7"/>
        <w:tblW w:w="85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8"/>
        <w:gridCol w:w="1467"/>
      </w:tblGrid>
      <w:tr w14:paraId="14399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7B86BA17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第一章  </w:t>
            </w:r>
            <w:r>
              <w:rPr>
                <w:rFonts w:hint="eastAsia" w:ascii="黑体" w:hAnsi="黑体" w:eastAsia="黑体" w:cs="宋体"/>
                <w:sz w:val="24"/>
              </w:rPr>
              <w:t>初识C4D</w:t>
            </w:r>
          </w:p>
        </w:tc>
        <w:tc>
          <w:tcPr>
            <w:tcW w:w="1467" w:type="dxa"/>
            <w:vAlign w:val="top"/>
          </w:tcPr>
          <w:p w14:paraId="002E09B5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071B47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B06F194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主要知识点：认识C4D是一款什么样的软件，并掌握C4D的界面、自定义布局与基本功能</w:t>
            </w:r>
          </w:p>
        </w:tc>
        <w:tc>
          <w:tcPr>
            <w:tcW w:w="1467" w:type="dxa"/>
            <w:vAlign w:val="top"/>
          </w:tcPr>
          <w:p w14:paraId="3AF84E0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5DC13E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ECF3F48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重点：为什么要学习C4D软件、C4D的主要用途。</w:t>
            </w:r>
          </w:p>
        </w:tc>
        <w:tc>
          <w:tcPr>
            <w:tcW w:w="1467" w:type="dxa"/>
            <w:vAlign w:val="top"/>
          </w:tcPr>
          <w:p w14:paraId="4059263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1E29AD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5450E5D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难点：了解C4D的有事且知道如何学习C4D</w:t>
            </w:r>
          </w:p>
        </w:tc>
        <w:tc>
          <w:tcPr>
            <w:tcW w:w="1467" w:type="dxa"/>
            <w:vAlign w:val="top"/>
          </w:tcPr>
          <w:p w14:paraId="4691CCE6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57CD6A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9B47E4A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第一节 </w:t>
            </w:r>
            <w:r>
              <w:rPr>
                <w:rFonts w:hint="eastAsia" w:ascii="黑体" w:hAnsi="黑体" w:eastAsia="黑体"/>
                <w:sz w:val="24"/>
              </w:rPr>
              <w:t>C4D软件</w:t>
            </w:r>
          </w:p>
        </w:tc>
        <w:tc>
          <w:tcPr>
            <w:tcW w:w="1467" w:type="dxa"/>
            <w:vAlign w:val="top"/>
          </w:tcPr>
          <w:p w14:paraId="10F37BDE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了解</w:t>
            </w:r>
          </w:p>
        </w:tc>
      </w:tr>
      <w:tr w14:paraId="187DF9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7C170021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第二节 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C4D界面与自定义布局</w:t>
            </w:r>
          </w:p>
        </w:tc>
        <w:tc>
          <w:tcPr>
            <w:tcW w:w="1467" w:type="dxa"/>
            <w:vAlign w:val="top"/>
          </w:tcPr>
          <w:p w14:paraId="5D198BA9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2F721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4636737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三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节 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C4D基本操作</w:t>
            </w:r>
          </w:p>
        </w:tc>
        <w:tc>
          <w:tcPr>
            <w:tcW w:w="1467" w:type="dxa"/>
            <w:vAlign w:val="top"/>
          </w:tcPr>
          <w:p w14:paraId="3B35EB7F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6B7E0A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5E0E55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章  几何体模型实战案例</w:t>
            </w:r>
          </w:p>
        </w:tc>
        <w:tc>
          <w:tcPr>
            <w:tcW w:w="1467" w:type="dxa"/>
            <w:vAlign w:val="top"/>
          </w:tcPr>
          <w:p w14:paraId="02885D72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6060B3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6847BA3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主要知识点：理解运用几何体建模、合成制作方式，并应学会运用其相关工具 </w:t>
            </w:r>
          </w:p>
        </w:tc>
        <w:tc>
          <w:tcPr>
            <w:tcW w:w="1467" w:type="dxa"/>
            <w:vAlign w:val="top"/>
          </w:tcPr>
          <w:p w14:paraId="5FC846E4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7A1B2D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735F40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重点：材质的添加、渲染的制作</w:t>
            </w:r>
          </w:p>
        </w:tc>
        <w:tc>
          <w:tcPr>
            <w:tcW w:w="1467" w:type="dxa"/>
            <w:vAlign w:val="top"/>
          </w:tcPr>
          <w:p w14:paraId="61D820B6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2C2A58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7C3498C1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难点：运用几何体建模</w:t>
            </w:r>
          </w:p>
        </w:tc>
        <w:tc>
          <w:tcPr>
            <w:tcW w:w="1467" w:type="dxa"/>
            <w:vAlign w:val="top"/>
          </w:tcPr>
          <w:p w14:paraId="3A5ABC62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279F01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83C1EBF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 小汽车模型制作</w:t>
            </w:r>
          </w:p>
        </w:tc>
        <w:tc>
          <w:tcPr>
            <w:tcW w:w="1467" w:type="dxa"/>
            <w:vAlign w:val="top"/>
          </w:tcPr>
          <w:p w14:paraId="3D36EAA6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2B1ABB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AE06C99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 自行车模型制作</w:t>
            </w:r>
          </w:p>
        </w:tc>
        <w:tc>
          <w:tcPr>
            <w:tcW w:w="1467" w:type="dxa"/>
            <w:vAlign w:val="top"/>
          </w:tcPr>
          <w:p w14:paraId="096FB1C6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63CF7C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79CFB072">
            <w:pPr>
              <w:spacing w:line="360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三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章 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曲线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NURBS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模型实战案例</w:t>
            </w:r>
          </w:p>
        </w:tc>
        <w:tc>
          <w:tcPr>
            <w:tcW w:w="1467" w:type="dxa"/>
            <w:vAlign w:val="top"/>
          </w:tcPr>
          <w:p w14:paraId="13BA63EA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592F38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FC1ABF8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主要知识点：了解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掌握曲线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NURBS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建模，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且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熟练的使用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曲线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NURBS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完成相关需求的商业模型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及相关工具</w:t>
            </w:r>
          </w:p>
        </w:tc>
        <w:tc>
          <w:tcPr>
            <w:tcW w:w="1467" w:type="dxa"/>
            <w:vAlign w:val="top"/>
          </w:tcPr>
          <w:p w14:paraId="00038EDB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5B3B91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9B7BCCE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曲线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NURBS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建模</w:t>
            </w:r>
          </w:p>
        </w:tc>
        <w:tc>
          <w:tcPr>
            <w:tcW w:w="1467" w:type="dxa"/>
            <w:vAlign w:val="top"/>
          </w:tcPr>
          <w:p w14:paraId="2A1837AD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09B75B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79BF8E3">
            <w:pPr>
              <w:spacing w:line="360" w:lineRule="auto"/>
              <w:ind w:firstLine="952" w:firstLineChars="397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曲线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NURBS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完成需求的商业模型及相关工具</w:t>
            </w:r>
          </w:p>
        </w:tc>
        <w:tc>
          <w:tcPr>
            <w:tcW w:w="1467" w:type="dxa"/>
            <w:vAlign w:val="top"/>
          </w:tcPr>
          <w:p w14:paraId="3D5740F2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3B334F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69EAF65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第一节 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曲线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NURBS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工具</w:t>
            </w:r>
          </w:p>
        </w:tc>
        <w:tc>
          <w:tcPr>
            <w:tcW w:w="1467" w:type="dxa"/>
            <w:vAlign w:val="top"/>
          </w:tcPr>
          <w:p w14:paraId="2B21DCB1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  <w:t>掌握应用</w:t>
            </w:r>
          </w:p>
        </w:tc>
      </w:tr>
      <w:tr w14:paraId="4F5CF7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3770476F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 养生壶建模</w:t>
            </w:r>
          </w:p>
        </w:tc>
        <w:tc>
          <w:tcPr>
            <w:tcW w:w="1467" w:type="dxa"/>
            <w:vAlign w:val="top"/>
          </w:tcPr>
          <w:p w14:paraId="4C908AFE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  <w:t>掌握应用</w:t>
            </w:r>
          </w:p>
        </w:tc>
      </w:tr>
      <w:tr w14:paraId="084A05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63DB453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四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章 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几何建模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案例</w:t>
            </w:r>
          </w:p>
        </w:tc>
        <w:tc>
          <w:tcPr>
            <w:tcW w:w="1467" w:type="dxa"/>
            <w:vAlign w:val="top"/>
          </w:tcPr>
          <w:p w14:paraId="4E07635A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54D23E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DE36065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主要知识点：了解掌握多边形点线面编辑建模及相关工具，理解并能熟练的完成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相关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模型</w:t>
            </w:r>
          </w:p>
        </w:tc>
        <w:tc>
          <w:tcPr>
            <w:tcW w:w="1467" w:type="dxa"/>
            <w:vAlign w:val="top"/>
          </w:tcPr>
          <w:p w14:paraId="78ABC28C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24E242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A99C0D5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重点：能够熟练的时候用点线面进行建模，点线面编辑建模及相关工具的使用</w:t>
            </w:r>
          </w:p>
        </w:tc>
        <w:tc>
          <w:tcPr>
            <w:tcW w:w="1467" w:type="dxa"/>
            <w:vAlign w:val="top"/>
          </w:tcPr>
          <w:p w14:paraId="2045E6B4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2E4EA7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5692D3B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难点：熟练的完成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相关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模型</w:t>
            </w:r>
          </w:p>
        </w:tc>
        <w:tc>
          <w:tcPr>
            <w:tcW w:w="1467" w:type="dxa"/>
            <w:vAlign w:val="top"/>
          </w:tcPr>
          <w:p w14:paraId="44E7C40A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0DDE00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1F62FDB2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滑板车模型</w:t>
            </w:r>
          </w:p>
        </w:tc>
        <w:tc>
          <w:tcPr>
            <w:tcW w:w="1467" w:type="dxa"/>
            <w:vAlign w:val="top"/>
          </w:tcPr>
          <w:p w14:paraId="0690C881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4237F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61868AF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艺术瓶子建模</w:t>
            </w:r>
          </w:p>
        </w:tc>
        <w:tc>
          <w:tcPr>
            <w:tcW w:w="1467" w:type="dxa"/>
            <w:vAlign w:val="top"/>
          </w:tcPr>
          <w:p w14:paraId="2E68B01E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62BD1A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E2C6ED1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第五章  C4D技巧模型案例</w:t>
            </w:r>
          </w:p>
        </w:tc>
        <w:tc>
          <w:tcPr>
            <w:tcW w:w="1467" w:type="dxa"/>
            <w:vAlign w:val="top"/>
          </w:tcPr>
          <w:p w14:paraId="67E97844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30072C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18C8BC7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主要知识点：了解掌握C4D中晶体、阵列、效果器、克隆等方法建模</w:t>
            </w:r>
          </w:p>
        </w:tc>
        <w:tc>
          <w:tcPr>
            <w:tcW w:w="1467" w:type="dxa"/>
            <w:vAlign w:val="top"/>
          </w:tcPr>
          <w:p w14:paraId="7EF77178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1C892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3D86049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重点：C4D中技巧建模及相关工具的使用</w:t>
            </w:r>
          </w:p>
        </w:tc>
        <w:tc>
          <w:tcPr>
            <w:tcW w:w="1467" w:type="dxa"/>
            <w:vAlign w:val="top"/>
          </w:tcPr>
          <w:p w14:paraId="7935B4D6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441B5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128" w:type="dxa"/>
            <w:vAlign w:val="top"/>
          </w:tcPr>
          <w:p w14:paraId="000947A6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难点：效果器、克隆等方法建模</w:t>
            </w:r>
          </w:p>
        </w:tc>
        <w:tc>
          <w:tcPr>
            <w:tcW w:w="1467" w:type="dxa"/>
            <w:vAlign w:val="top"/>
          </w:tcPr>
          <w:p w14:paraId="66EF430F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5D1EFF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B38E72F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变形器</w:t>
            </w:r>
          </w:p>
        </w:tc>
        <w:tc>
          <w:tcPr>
            <w:tcW w:w="1467" w:type="dxa"/>
            <w:vAlign w:val="top"/>
          </w:tcPr>
          <w:p w14:paraId="4BEB332B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352246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429CACD8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酷炫色子</w:t>
            </w:r>
          </w:p>
        </w:tc>
        <w:tc>
          <w:tcPr>
            <w:tcW w:w="1467" w:type="dxa"/>
            <w:vAlign w:val="top"/>
          </w:tcPr>
          <w:p w14:paraId="34649EBF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39742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D2957B5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第六章  C4D材质</w:t>
            </w:r>
          </w:p>
        </w:tc>
        <w:tc>
          <w:tcPr>
            <w:tcW w:w="1467" w:type="dxa"/>
            <w:vAlign w:val="top"/>
          </w:tcPr>
          <w:p w14:paraId="63BF696B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（1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2F617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B1F98A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主要知识点：了解掌握C4D中常用的材质调节方法</w:t>
            </w:r>
          </w:p>
        </w:tc>
        <w:tc>
          <w:tcPr>
            <w:tcW w:w="1467" w:type="dxa"/>
            <w:vAlign w:val="top"/>
          </w:tcPr>
          <w:p w14:paraId="39C71A9A">
            <w:pPr>
              <w:spacing w:line="360" w:lineRule="auto"/>
              <w:rPr>
                <w:rFonts w:ascii="黑体" w:hAnsi="黑体" w:eastAsia="黑体"/>
                <w:color w:val="000000"/>
                <w:sz w:val="24"/>
              </w:rPr>
            </w:pPr>
          </w:p>
        </w:tc>
      </w:tr>
      <w:tr w14:paraId="2A5F5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4567D87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重点：C4D中常用的材质调节方法及相关工具的使用</w:t>
            </w:r>
          </w:p>
        </w:tc>
        <w:tc>
          <w:tcPr>
            <w:tcW w:w="1467" w:type="dxa"/>
            <w:vAlign w:val="top"/>
          </w:tcPr>
          <w:p w14:paraId="29927022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34D1DF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118FB7C">
            <w:pPr>
              <w:spacing w:line="360" w:lineRule="auto"/>
              <w:ind w:firstLine="952" w:firstLineChars="397"/>
              <w:rPr>
                <w:rStyle w:val="10"/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难点：玻璃、塑料、金属、SSS材质的调节方法</w:t>
            </w:r>
          </w:p>
        </w:tc>
        <w:tc>
          <w:tcPr>
            <w:tcW w:w="1467" w:type="dxa"/>
            <w:vAlign w:val="top"/>
          </w:tcPr>
          <w:p w14:paraId="1B2FC305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4DC748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77718B9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材质球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及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各个通道</w:t>
            </w:r>
          </w:p>
        </w:tc>
        <w:tc>
          <w:tcPr>
            <w:tcW w:w="1467" w:type="dxa"/>
            <w:vAlign w:val="top"/>
          </w:tcPr>
          <w:p w14:paraId="648135F8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4778F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7128" w:type="dxa"/>
            <w:vAlign w:val="top"/>
          </w:tcPr>
          <w:p w14:paraId="4E41E47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节 C4D材质讲解</w:t>
            </w:r>
          </w:p>
        </w:tc>
        <w:tc>
          <w:tcPr>
            <w:tcW w:w="1467" w:type="dxa"/>
            <w:vAlign w:val="top"/>
          </w:tcPr>
          <w:p w14:paraId="0C629A19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5A7E63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1FA76D0A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七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章 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C4D渲染</w:t>
            </w:r>
          </w:p>
        </w:tc>
        <w:tc>
          <w:tcPr>
            <w:tcW w:w="1467" w:type="dxa"/>
            <w:vAlign w:val="top"/>
          </w:tcPr>
          <w:p w14:paraId="2897D44F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40CA28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A51A9F4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主要知识点：了解掌握C4D中自带的渲染器使用及相关功能的使用</w:t>
            </w:r>
          </w:p>
        </w:tc>
        <w:tc>
          <w:tcPr>
            <w:tcW w:w="1467" w:type="dxa"/>
            <w:vAlign w:val="top"/>
          </w:tcPr>
          <w:p w14:paraId="31F5413C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329D37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3E7CBDC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重点：C4D中自带的渲染器的使用 </w:t>
            </w:r>
          </w:p>
        </w:tc>
        <w:tc>
          <w:tcPr>
            <w:tcW w:w="1467" w:type="dxa"/>
            <w:vAlign w:val="top"/>
          </w:tcPr>
          <w:p w14:paraId="30D810B5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62AC11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1BE6BBCB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难点：物理渲染器的使用与输出 </w:t>
            </w:r>
          </w:p>
        </w:tc>
        <w:tc>
          <w:tcPr>
            <w:tcW w:w="1467" w:type="dxa"/>
            <w:vAlign w:val="top"/>
          </w:tcPr>
          <w:p w14:paraId="795F3F04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5B044E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6589626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第一节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C4D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渲染器</w:t>
            </w:r>
          </w:p>
        </w:tc>
        <w:tc>
          <w:tcPr>
            <w:tcW w:w="1467" w:type="dxa"/>
            <w:vAlign w:val="top"/>
          </w:tcPr>
          <w:p w14:paraId="05350323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2E79F8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81D6BAD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渲染器的使用与输出</w:t>
            </w:r>
          </w:p>
        </w:tc>
        <w:tc>
          <w:tcPr>
            <w:tcW w:w="1467" w:type="dxa"/>
            <w:vAlign w:val="top"/>
          </w:tcPr>
          <w:p w14:paraId="4445A360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511FFB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4FD6BF0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八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章 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商业实战案例</w:t>
            </w:r>
          </w:p>
        </w:tc>
        <w:tc>
          <w:tcPr>
            <w:tcW w:w="1467" w:type="dxa"/>
            <w:vAlign w:val="top"/>
          </w:tcPr>
          <w:p w14:paraId="1C23B969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24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233F05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68291C86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主要知识点：了解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掌握商业模型的布线、材质、等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整规范流程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。</w:t>
            </w:r>
          </w:p>
        </w:tc>
        <w:tc>
          <w:tcPr>
            <w:tcW w:w="1467" w:type="dxa"/>
            <w:vAlign w:val="top"/>
          </w:tcPr>
          <w:p w14:paraId="172A828C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501355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F560305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重点：模型布线方式及行业标准</w:t>
            </w:r>
          </w:p>
        </w:tc>
        <w:tc>
          <w:tcPr>
            <w:tcW w:w="1467" w:type="dxa"/>
            <w:vAlign w:val="top"/>
          </w:tcPr>
          <w:p w14:paraId="52A60CCB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13B064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3540309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商业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模型面数控制及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材质、灯光</w:t>
            </w:r>
          </w:p>
        </w:tc>
        <w:tc>
          <w:tcPr>
            <w:tcW w:w="1467" w:type="dxa"/>
            <w:vAlign w:val="top"/>
          </w:tcPr>
          <w:p w14:paraId="55A8086D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3DB5B0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339C35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音箱案例</w:t>
            </w:r>
          </w:p>
        </w:tc>
        <w:tc>
          <w:tcPr>
            <w:tcW w:w="1467" w:type="dxa"/>
            <w:vAlign w:val="top"/>
          </w:tcPr>
          <w:p w14:paraId="5C925A21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1D5598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9E73B97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彩色熔岩字体</w:t>
            </w:r>
          </w:p>
        </w:tc>
        <w:tc>
          <w:tcPr>
            <w:tcW w:w="1467" w:type="dxa"/>
            <w:vAlign w:val="top"/>
          </w:tcPr>
          <w:p w14:paraId="43DF13CD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</w:tbl>
    <w:p w14:paraId="3EB74287">
      <w:pPr>
        <w:pStyle w:val="6"/>
        <w:spacing w:before="0" w:beforeAutospacing="0" w:after="0" w:afterAutospacing="0" w:line="360" w:lineRule="auto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五、各教学环节学时分配</w:t>
      </w:r>
    </w:p>
    <w:tbl>
      <w:tblPr>
        <w:tblStyle w:val="7"/>
        <w:tblW w:w="85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6"/>
        <w:gridCol w:w="2016"/>
        <w:gridCol w:w="2016"/>
        <w:gridCol w:w="1870"/>
      </w:tblGrid>
      <w:tr w14:paraId="7F2B0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2FE161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章节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5448DC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理论课   </w:t>
            </w:r>
          </w:p>
          <w:p w14:paraId="5BE36FFD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6E6D8D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实践课   </w:t>
            </w:r>
          </w:p>
          <w:p w14:paraId="4FEA480A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AA1E95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小计</w:t>
            </w:r>
          </w:p>
        </w:tc>
      </w:tr>
      <w:tr w14:paraId="4AFC4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CB65C3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第一章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0CF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967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CD9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 w14:paraId="3FB30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D25A54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第二章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22B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8AB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1DB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345FFC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F4028B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第三章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426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AF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364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41A65E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8E5509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第四章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8ED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AF2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687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11F518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CC4E13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第五章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63E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8B1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CFC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6BBC1C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4056A5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第六章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58E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04A0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C0C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79A94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3309F5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第七章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9B5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BCF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40A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7F5F4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C167CD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</w:t>
            </w:r>
            <w:r>
              <w:rPr>
                <w:rFonts w:hint="eastAsia" w:ascii="黑体" w:hAnsi="黑体" w:eastAsia="黑体"/>
                <w:lang w:val="en-US" w:eastAsia="zh-CN"/>
              </w:rPr>
              <w:t>八</w:t>
            </w:r>
            <w:r>
              <w:rPr>
                <w:rFonts w:hint="eastAsia" w:ascii="黑体" w:hAnsi="黑体" w:eastAsia="黑体"/>
              </w:rPr>
              <w:t>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0E4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 w:cs="黑体"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E53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 w:cs="黑体"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ACC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 w:cs="黑体"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</w:tr>
      <w:tr w14:paraId="323653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480FA2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总计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0C02AC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sz w:val="24"/>
                <w:szCs w:val="24"/>
                <w:lang w:val="en-US" w:eastAsia="zh-CN"/>
              </w:rPr>
              <w:t>64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E557ED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sz w:val="24"/>
                <w:szCs w:val="24"/>
                <w:lang w:val="en-US" w:eastAsia="zh-CN"/>
              </w:rPr>
              <w:t>64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0040C5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sz w:val="24"/>
                <w:szCs w:val="24"/>
                <w:lang w:val="en-US" w:eastAsia="zh-CN"/>
              </w:rPr>
              <w:t>128</w:t>
            </w:r>
          </w:p>
        </w:tc>
      </w:tr>
    </w:tbl>
    <w:p w14:paraId="0642A633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六、考核方式与成绩评定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9"/>
        <w:gridCol w:w="2907"/>
        <w:gridCol w:w="3960"/>
      </w:tblGrid>
      <w:tr w14:paraId="1CB45D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70EEBDC1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考核类型</w:t>
            </w:r>
          </w:p>
        </w:tc>
        <w:tc>
          <w:tcPr>
            <w:tcW w:w="2907" w:type="dxa"/>
          </w:tcPr>
          <w:p w14:paraId="4A1DB74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考核方式</w:t>
            </w:r>
          </w:p>
        </w:tc>
        <w:tc>
          <w:tcPr>
            <w:tcW w:w="3960" w:type="dxa"/>
          </w:tcPr>
          <w:p w14:paraId="603ABA2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成绩构成</w:t>
            </w:r>
          </w:p>
        </w:tc>
      </w:tr>
      <w:tr w14:paraId="0BFAB4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0FE203E4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考查</w:t>
            </w:r>
          </w:p>
        </w:tc>
        <w:tc>
          <w:tcPr>
            <w:tcW w:w="2907" w:type="dxa"/>
          </w:tcPr>
          <w:p w14:paraId="77ECC96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</w:t>
            </w:r>
          </w:p>
        </w:tc>
        <w:tc>
          <w:tcPr>
            <w:tcW w:w="3960" w:type="dxa"/>
          </w:tcPr>
          <w:p w14:paraId="1FDE456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上机60%+平时成绩40%</w:t>
            </w:r>
          </w:p>
        </w:tc>
      </w:tr>
    </w:tbl>
    <w:p w14:paraId="371B9D4F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七、教材与参考书</w:t>
      </w:r>
    </w:p>
    <w:p w14:paraId="6E4450AB">
      <w:pPr>
        <w:pStyle w:val="2"/>
        <w:widowControl/>
        <w:shd w:val="clear" w:color="auto" w:fill="FFFFFF"/>
        <w:spacing w:before="0" w:beforeAutospacing="0" w:after="0" w:afterAutospacing="0" w:line="15" w:lineRule="atLeast"/>
        <w:rPr>
          <w:rFonts w:hint="default" w:ascii="黑体" w:hAnsi="黑体" w:eastAsia="黑体" w:cs="Tahoma"/>
          <w:b w:val="0"/>
          <w:bCs/>
          <w:sz w:val="22"/>
          <w:szCs w:val="22"/>
          <w:shd w:val="clear" w:color="auto" w:fill="FFFFFF"/>
        </w:rPr>
      </w:pPr>
      <w:r>
        <w:rPr>
          <w:rFonts w:ascii="黑体" w:hAnsi="黑体" w:eastAsia="黑体"/>
          <w:sz w:val="24"/>
        </w:rPr>
        <w:t>1.</w:t>
      </w:r>
      <w:r>
        <w:rPr>
          <w:rFonts w:hint="eastAsia" w:ascii="黑体" w:hAnsi="黑体" w:eastAsia="黑体"/>
          <w:sz w:val="24"/>
        </w:rPr>
        <w:t>《 Cinema 4D+After Effects视频包装高端案例精讲》庄华伟出版社:中国铁道出版社出，2020年03月出版，作者中国崔欧伦。</w:t>
      </w:r>
      <w:r>
        <w:rPr>
          <w:rFonts w:ascii="黑体" w:hAnsi="黑体" w:eastAsia="黑体" w:cs="Tahoma"/>
          <w:b w:val="0"/>
          <w:bCs/>
          <w:sz w:val="22"/>
          <w:szCs w:val="22"/>
          <w:shd w:val="clear" w:color="auto" w:fill="FFFFFF"/>
        </w:rPr>
        <w:t>。</w:t>
      </w:r>
    </w:p>
    <w:p w14:paraId="2C13F012">
      <w:pPr>
        <w:spacing w:line="320" w:lineRule="exact"/>
        <w:jc w:val="left"/>
        <w:rPr>
          <w:rFonts w:ascii="黑体" w:hAnsi="黑体" w:eastAsia="黑体" w:cs="微软雅黑"/>
        </w:rPr>
      </w:pPr>
    </w:p>
    <w:sectPr>
      <w:headerReference r:id="rId3" w:type="default"/>
      <w:pgSz w:w="11906" w:h="16838"/>
      <w:pgMar w:top="1440" w:right="1800" w:bottom="1440" w:left="1800" w:header="851" w:footer="850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大黑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准圆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02CB9E">
    <w:pPr>
      <w:pStyle w:val="5"/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-554990</wp:posOffset>
          </wp:positionH>
          <wp:positionV relativeFrom="paragraph">
            <wp:posOffset>-529590</wp:posOffset>
          </wp:positionV>
          <wp:extent cx="8107680" cy="10664190"/>
          <wp:effectExtent l="0" t="0" r="7620" b="3810"/>
          <wp:wrapNone/>
          <wp:docPr id="10" name="图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7680" cy="10664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8F908C8">
    <w:pPr>
      <w:pStyle w:val="5"/>
    </w:pPr>
  </w:p>
  <w:p w14:paraId="128EF388"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9977CD"/>
    <w:multiLevelType w:val="multilevel"/>
    <w:tmpl w:val="779977CD"/>
    <w:lvl w:ilvl="0" w:tentative="0">
      <w:start w:val="2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NhMGZlNzBjZTA4YTY1M2Y2YjE0ZWRlNDk2YzAyNzUifQ=="/>
  </w:docVars>
  <w:rsids>
    <w:rsidRoot w:val="00DA13A3"/>
    <w:rsid w:val="00144B66"/>
    <w:rsid w:val="001C2F5B"/>
    <w:rsid w:val="0028778D"/>
    <w:rsid w:val="002F7B6D"/>
    <w:rsid w:val="003427FF"/>
    <w:rsid w:val="003730F9"/>
    <w:rsid w:val="00382CB5"/>
    <w:rsid w:val="00432745"/>
    <w:rsid w:val="004A62CD"/>
    <w:rsid w:val="004E4CB4"/>
    <w:rsid w:val="00567C1B"/>
    <w:rsid w:val="00616294"/>
    <w:rsid w:val="00641008"/>
    <w:rsid w:val="00700377"/>
    <w:rsid w:val="007749A5"/>
    <w:rsid w:val="007D6E18"/>
    <w:rsid w:val="0083696D"/>
    <w:rsid w:val="008F18F3"/>
    <w:rsid w:val="0091126C"/>
    <w:rsid w:val="00933224"/>
    <w:rsid w:val="00A10BD1"/>
    <w:rsid w:val="00A61D91"/>
    <w:rsid w:val="00A9462C"/>
    <w:rsid w:val="00BE1402"/>
    <w:rsid w:val="00C30694"/>
    <w:rsid w:val="00CE5A75"/>
    <w:rsid w:val="00D904E1"/>
    <w:rsid w:val="00DA13A3"/>
    <w:rsid w:val="00E06ACF"/>
    <w:rsid w:val="00E36710"/>
    <w:rsid w:val="00EA5ACD"/>
    <w:rsid w:val="00ED0E5C"/>
    <w:rsid w:val="00F82539"/>
    <w:rsid w:val="00FE5BC5"/>
    <w:rsid w:val="0ABF510E"/>
    <w:rsid w:val="0B6D2AAD"/>
    <w:rsid w:val="127D2E09"/>
    <w:rsid w:val="12E3308D"/>
    <w:rsid w:val="19263CD4"/>
    <w:rsid w:val="22A05AF1"/>
    <w:rsid w:val="30FD0E07"/>
    <w:rsid w:val="39296CF1"/>
    <w:rsid w:val="3E7F6A62"/>
    <w:rsid w:val="4269685C"/>
    <w:rsid w:val="47D50858"/>
    <w:rsid w:val="4ACB00B3"/>
    <w:rsid w:val="4DB473A2"/>
    <w:rsid w:val="50722D7F"/>
    <w:rsid w:val="50A0710B"/>
    <w:rsid w:val="52E144DC"/>
    <w:rsid w:val="52F71A4E"/>
    <w:rsid w:val="55E53FF3"/>
    <w:rsid w:val="5C045110"/>
    <w:rsid w:val="62F37800"/>
    <w:rsid w:val="6F6D2C38"/>
    <w:rsid w:val="76890461"/>
    <w:rsid w:val="79D34101"/>
    <w:rsid w:val="7CBA4636"/>
    <w:rsid w:val="7DEC4FAE"/>
    <w:rsid w:val="7E0D3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qFormat/>
    <w:uiPriority w:val="0"/>
    <w:rPr>
      <w:b/>
    </w:rPr>
  </w:style>
  <w:style w:type="character" w:customStyle="1" w:styleId="11">
    <w:name w:val="正文文本 字符"/>
    <w:basedOn w:val="9"/>
    <w:link w:val="3"/>
    <w:qFormat/>
    <w:uiPriority w:val="1"/>
    <w:rPr>
      <w:rFonts w:ascii="宋体" w:hAnsi="Calibri" w:eastAsia="宋体" w:cs="宋体"/>
      <w:sz w:val="24"/>
      <w:szCs w:val="24"/>
    </w:rPr>
  </w:style>
  <w:style w:type="paragraph" w:customStyle="1" w:styleId="12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character" w:customStyle="1" w:styleId="13">
    <w:name w:val="标题 1 字符"/>
    <w:basedOn w:val="9"/>
    <w:link w:val="2"/>
    <w:qFormat/>
    <w:uiPriority w:val="0"/>
    <w:rPr>
      <w:rFonts w:ascii="宋体" w:hAnsi="宋体" w:eastAsia="宋体" w:cs="Times New Roman"/>
      <w:b/>
      <w:kern w:val="44"/>
      <w:sz w:val="48"/>
      <w:szCs w:val="48"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1354</Words>
  <Characters>1490</Characters>
  <Lines>12</Lines>
  <Paragraphs>3</Paragraphs>
  <TotalTime>1</TotalTime>
  <ScaleCrop>false</ScaleCrop>
  <LinksUpToDate>false</LinksUpToDate>
  <CharactersWithSpaces>1646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2022-01-30T05:49:00Z</dcterms:created>
  <dc:creator>ooopic</dc:creator>
  <cp:lastModifiedBy>蒙宝.</cp:lastModifiedBy>
  <dcterms:modified xsi:type="dcterms:W3CDTF">2024-09-18T06:21:35Z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224601FEEBF04FBDAB4499460A2AF3EC</vt:lpwstr>
  </property>
</Properties>
</file>