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C4A23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26F47555">
      <w:pPr>
        <w:jc w:val="right"/>
      </w:pPr>
    </w:p>
    <w:p w14:paraId="1A619E8B">
      <w:pPr>
        <w:jc w:val="right"/>
      </w:pPr>
    </w:p>
    <w:p w14:paraId="6E746491">
      <w:pPr>
        <w:jc w:val="right"/>
      </w:pPr>
    </w:p>
    <w:p w14:paraId="341BA7D3">
      <w:pPr>
        <w:rPr>
          <w:rFonts w:ascii="微软雅黑" w:hAnsi="微软雅黑" w:eastAsia="微软雅黑" w:cs="微软雅黑"/>
        </w:rPr>
      </w:pPr>
    </w:p>
    <w:p w14:paraId="572B584D">
      <w:pPr>
        <w:rPr>
          <w:rFonts w:ascii="微软雅黑" w:hAnsi="微软雅黑" w:eastAsia="微软雅黑" w:cs="微软雅黑"/>
        </w:rPr>
      </w:pPr>
    </w:p>
    <w:p w14:paraId="01688501">
      <w:pPr>
        <w:rPr>
          <w:rFonts w:ascii="微软雅黑" w:hAnsi="微软雅黑" w:eastAsia="微软雅黑" w:cs="微软雅黑"/>
        </w:rPr>
      </w:pPr>
    </w:p>
    <w:p w14:paraId="2F95BA63">
      <w:pPr>
        <w:rPr>
          <w:rFonts w:ascii="微软雅黑" w:hAnsi="微软雅黑" w:eastAsia="微软雅黑" w:cs="微软雅黑"/>
        </w:rPr>
      </w:pPr>
    </w:p>
    <w:p w14:paraId="11BE9E37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6D1B43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光影与质感表现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技术》教学大纲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96D1B43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光影与质感表现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技术》教学大纲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61CD6487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2C6E95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A2C6E95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4C923DD0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763984E4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763984E4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0397ADE4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6F9749F7">
      <w:pPr>
        <w:rPr>
          <w:rFonts w:ascii="微软雅黑" w:hAnsi="微软雅黑" w:eastAsia="微软雅黑" w:cs="微软雅黑"/>
        </w:rPr>
      </w:pPr>
    </w:p>
    <w:p w14:paraId="63F93C3E">
      <w:pPr>
        <w:rPr>
          <w:rFonts w:ascii="微软雅黑" w:hAnsi="微软雅黑" w:eastAsia="微软雅黑" w:cs="微软雅黑"/>
        </w:rPr>
      </w:pPr>
    </w:p>
    <w:p w14:paraId="70951723">
      <w:pPr>
        <w:rPr>
          <w:rFonts w:ascii="微软雅黑" w:hAnsi="微软雅黑" w:eastAsia="微软雅黑" w:cs="微软雅黑"/>
        </w:rPr>
      </w:pPr>
    </w:p>
    <w:p w14:paraId="6BD3677E">
      <w:pPr>
        <w:rPr>
          <w:rFonts w:ascii="微软雅黑" w:hAnsi="微软雅黑" w:eastAsia="微软雅黑" w:cs="微软雅黑"/>
        </w:rPr>
      </w:pPr>
    </w:p>
    <w:p w14:paraId="0B7A47C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948B9E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1D21614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854727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C87BE0E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48E6F09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DA2F83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1575299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6AF7B42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sz w:val="24"/>
          <w:lang w:val="en-US" w:eastAsia="zh-CN"/>
        </w:rPr>
        <w:t>光影与质感表现</w:t>
      </w:r>
      <w:bookmarkStart w:id="0" w:name="_GoBack"/>
      <w:bookmarkEnd w:id="0"/>
      <w:r>
        <w:rPr>
          <w:rFonts w:hint="eastAsia" w:ascii="黑体" w:hAnsi="黑体" w:eastAsia="黑体"/>
          <w:sz w:val="24"/>
        </w:rPr>
        <w:t xml:space="preserve">技术 </w:t>
      </w:r>
    </w:p>
    <w:p w14:paraId="506A0EE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 xml:space="preserve">总学时：160（理论学时：80；实践学时：80）   </w:t>
      </w:r>
    </w:p>
    <w:p w14:paraId="30A36770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5C4D48C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32F84DC5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53081EBD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这门课程主要讲授C4D软件通过第三方渲染器插件的OC（ OctaneRender）渲染器、阿诺德（Arnold）渲染器进行对制作的三维模型、动画等元素进行渲染，核心内容涵盖OC渲染器、阿诺德渲染器安装、材质、灯光、渲染及各自优缺。。</w:t>
      </w:r>
    </w:p>
    <w:p w14:paraId="09F2B245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2752B85A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通过本课程的学习，学生可以使用OC（ OctaneRender）渲染器、阿诺德（Arnold）渲染器在实际项目中的作用，理解材质、灯光、渲染的设置方法及各自优缺，掌握C4D标准渲染器以外实际项目中的概念及行业规范操作。</w:t>
      </w:r>
    </w:p>
    <w:p w14:paraId="19C696D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50BADE6B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该课程是专业必修课，前期需要《影视后期特效》、《三维模型设计》《影视包装动画技术》等课程的学习打下基础。为进阶课程《影视包装合成与校色》等相关课程的做准备。。</w:t>
      </w:r>
    </w:p>
    <w:p w14:paraId="60B0619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2E449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0986DC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第一章  OCTANE RENDER 渲染器</w:t>
            </w:r>
          </w:p>
        </w:tc>
        <w:tc>
          <w:tcPr>
            <w:tcW w:w="1467" w:type="dxa"/>
          </w:tcPr>
          <w:p w14:paraId="386045E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404F03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F51927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主要知识点：掌握OCTANE RENDER 安装、灯光、摄像机、材质的基础设置及渲染输出方式。</w:t>
            </w:r>
          </w:p>
        </w:tc>
        <w:tc>
          <w:tcPr>
            <w:tcW w:w="1467" w:type="dxa"/>
          </w:tcPr>
          <w:p w14:paraId="041D3AB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0D04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BA3E10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重点：OCE安装及渲染输出</w:t>
            </w:r>
          </w:p>
        </w:tc>
        <w:tc>
          <w:tcPr>
            <w:tcW w:w="1467" w:type="dxa"/>
          </w:tcPr>
          <w:p w14:paraId="503B025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51942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ED9D1B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难点：OC的基础设置</w:t>
            </w:r>
          </w:p>
        </w:tc>
        <w:tc>
          <w:tcPr>
            <w:tcW w:w="1467" w:type="dxa"/>
          </w:tcPr>
          <w:p w14:paraId="637D05D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B8C7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BEC785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OCTANE RENDER 安装及及渲染输出</w:t>
            </w:r>
          </w:p>
        </w:tc>
        <w:tc>
          <w:tcPr>
            <w:tcW w:w="1467" w:type="dxa"/>
            <w:vAlign w:val="top"/>
          </w:tcPr>
          <w:p w14:paraId="53BE372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033CA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DB4E4E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第二节 OCTANE RENDER 基础</w:t>
            </w:r>
          </w:p>
        </w:tc>
        <w:tc>
          <w:tcPr>
            <w:tcW w:w="1467" w:type="dxa"/>
            <w:vAlign w:val="top"/>
          </w:tcPr>
          <w:p w14:paraId="1032BE9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073AF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01EF5F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第二章  OCTANE RENDER材质及预设</w:t>
            </w:r>
          </w:p>
        </w:tc>
        <w:tc>
          <w:tcPr>
            <w:tcW w:w="1467" w:type="dxa"/>
          </w:tcPr>
          <w:p w14:paraId="0129369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76BC5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67D0165">
            <w:pPr>
              <w:spacing w:line="360" w:lineRule="auto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主要知识点：掌握OCTANE RENDER、常用材质的设置、节点编辑器及OC的分布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。</w:t>
            </w:r>
          </w:p>
        </w:tc>
        <w:tc>
          <w:tcPr>
            <w:tcW w:w="1467" w:type="dxa"/>
          </w:tcPr>
          <w:p w14:paraId="4A00754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BBBB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DD49A1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重点：常用材质的参数设置</w:t>
            </w:r>
          </w:p>
        </w:tc>
        <w:tc>
          <w:tcPr>
            <w:tcW w:w="1467" w:type="dxa"/>
          </w:tcPr>
          <w:p w14:paraId="76A91061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A058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A1FEA5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难点：节点编辑器及分布</w:t>
            </w:r>
          </w:p>
        </w:tc>
        <w:tc>
          <w:tcPr>
            <w:tcW w:w="1467" w:type="dxa"/>
          </w:tcPr>
          <w:p w14:paraId="6027BAE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ED27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E7D11D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OCTANE RENDER材质及预设</w:t>
            </w:r>
          </w:p>
        </w:tc>
        <w:tc>
          <w:tcPr>
            <w:tcW w:w="1467" w:type="dxa"/>
          </w:tcPr>
          <w:p w14:paraId="5057AB1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3A574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B670B2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第三章  OC案例-化妆品建模与渲染</w:t>
            </w:r>
          </w:p>
        </w:tc>
        <w:tc>
          <w:tcPr>
            <w:tcW w:w="1467" w:type="dxa"/>
          </w:tcPr>
          <w:p w14:paraId="33F4045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36558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7E6E614F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主要知识点：掌握OCTANE RENDER渲染器在实际案例中的参数使用与渲染效果。</w:t>
            </w:r>
          </w:p>
        </w:tc>
        <w:tc>
          <w:tcPr>
            <w:tcW w:w="1467" w:type="dxa"/>
          </w:tcPr>
          <w:p w14:paraId="14FCBA13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16C0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11CF52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重点：OC渲染器参数使用</w:t>
            </w:r>
          </w:p>
        </w:tc>
        <w:tc>
          <w:tcPr>
            <w:tcW w:w="1467" w:type="dxa"/>
          </w:tcPr>
          <w:p w14:paraId="3A16BA2D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084F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C0CA11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难点：OC渲染器实际项目的运用</w:t>
            </w:r>
          </w:p>
        </w:tc>
        <w:tc>
          <w:tcPr>
            <w:tcW w:w="1467" w:type="dxa"/>
          </w:tcPr>
          <w:p w14:paraId="6F95F813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AA31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27D546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 OC案例-化妆品建模与渲染</w:t>
            </w:r>
          </w:p>
        </w:tc>
        <w:tc>
          <w:tcPr>
            <w:tcW w:w="1467" w:type="dxa"/>
          </w:tcPr>
          <w:p w14:paraId="2E360BBF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722F6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538D472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第四章 了解阿诺德（Arnold）渲染器安装布局及渲染</w:t>
            </w:r>
          </w:p>
        </w:tc>
        <w:tc>
          <w:tcPr>
            <w:tcW w:w="1467" w:type="dxa"/>
          </w:tcPr>
          <w:p w14:paraId="60308BA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32A04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E14E7E8">
            <w:pPr>
              <w:spacing w:line="360" w:lineRule="auto"/>
              <w:ind w:left="19" w:leftChars="9" w:firstLine="818" w:firstLineChars="341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主要知识点：二级调色的工作方法、HSL选色工具使用、二级调色色彩曲线应用</w:t>
            </w:r>
          </w:p>
        </w:tc>
        <w:tc>
          <w:tcPr>
            <w:tcW w:w="1467" w:type="dxa"/>
          </w:tcPr>
          <w:p w14:paraId="13ABE56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053284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1C1FBC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重点：阿诺德（Arnold）渲染器件布局使用</w:t>
            </w:r>
          </w:p>
        </w:tc>
        <w:tc>
          <w:tcPr>
            <w:tcW w:w="1467" w:type="dxa"/>
          </w:tcPr>
          <w:p w14:paraId="539E05A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C851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</w:tcPr>
          <w:p w14:paraId="13398A2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难点：阿诺德（Arnold）渲染器的工作流程</w:t>
            </w:r>
          </w:p>
        </w:tc>
        <w:tc>
          <w:tcPr>
            <w:tcW w:w="1467" w:type="dxa"/>
          </w:tcPr>
          <w:p w14:paraId="0CCBB320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5ED58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54D5B6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 阿诺德安装与布局使用</w:t>
            </w:r>
          </w:p>
        </w:tc>
        <w:tc>
          <w:tcPr>
            <w:tcW w:w="1467" w:type="dxa"/>
          </w:tcPr>
          <w:p w14:paraId="0BD0FCD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707DF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AA2403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</w:rPr>
              <w:t>阿诺德工作流程</w:t>
            </w:r>
          </w:p>
        </w:tc>
        <w:tc>
          <w:tcPr>
            <w:tcW w:w="1467" w:type="dxa"/>
          </w:tcPr>
          <w:p w14:paraId="23B22CE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2B9D3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F57CD6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第五章  阿诺德的材质与灯光</w:t>
            </w:r>
          </w:p>
        </w:tc>
        <w:tc>
          <w:tcPr>
            <w:tcW w:w="1467" w:type="dxa"/>
          </w:tcPr>
          <w:p w14:paraId="43A1810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09139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3852D1E">
            <w:pPr>
              <w:spacing w:line="360" w:lineRule="auto"/>
              <w:ind w:firstLine="840" w:firstLineChars="350"/>
              <w:rPr>
                <w:rStyle w:val="10"/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主要知识点：掌握阿诺德中的不同类型灯光、材质及多种模拟材质使用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。</w:t>
            </w:r>
          </w:p>
        </w:tc>
        <w:tc>
          <w:tcPr>
            <w:tcW w:w="1467" w:type="dxa"/>
          </w:tcPr>
          <w:p w14:paraId="3CCF94D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26EB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0A6590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重点：阿诺德中不同类型类型灯光</w:t>
            </w:r>
          </w:p>
        </w:tc>
        <w:tc>
          <w:tcPr>
            <w:tcW w:w="1467" w:type="dxa"/>
          </w:tcPr>
          <w:p w14:paraId="7513FBB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6314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</w:tcPr>
          <w:p w14:paraId="10D9BAF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难点：塑料、玻璃、金属材质等多种模拟材质</w:t>
            </w:r>
          </w:p>
        </w:tc>
        <w:tc>
          <w:tcPr>
            <w:tcW w:w="1467" w:type="dxa"/>
          </w:tcPr>
          <w:p w14:paraId="63D617A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45550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1AB2BAD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材质</w:t>
            </w:r>
          </w:p>
        </w:tc>
        <w:tc>
          <w:tcPr>
            <w:tcW w:w="1467" w:type="dxa"/>
            <w:vAlign w:val="top"/>
          </w:tcPr>
          <w:p w14:paraId="01B25D9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28333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A10834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第二节 灯光</w:t>
            </w:r>
          </w:p>
        </w:tc>
        <w:tc>
          <w:tcPr>
            <w:tcW w:w="1467" w:type="dxa"/>
            <w:vAlign w:val="top"/>
          </w:tcPr>
          <w:p w14:paraId="079F39B7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81D6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72A1BE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第六章 阿诺德案例-机器人渲染</w:t>
            </w:r>
          </w:p>
        </w:tc>
        <w:tc>
          <w:tcPr>
            <w:tcW w:w="1467" w:type="dxa"/>
          </w:tcPr>
          <w:p w14:paraId="68940AC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74E2EA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9FD1DDD">
            <w:pPr>
              <w:spacing w:line="360" w:lineRule="auto"/>
              <w:ind w:firstLine="952" w:firstLineChars="397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主要知识点：阿诺德插件的渲染与参数设置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。</w:t>
            </w:r>
          </w:p>
        </w:tc>
        <w:tc>
          <w:tcPr>
            <w:tcW w:w="1467" w:type="dxa"/>
          </w:tcPr>
          <w:p w14:paraId="7CC1CEEA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817A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00CDD4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重点：阿诺德渲染</w:t>
            </w:r>
          </w:p>
        </w:tc>
        <w:tc>
          <w:tcPr>
            <w:tcW w:w="1467" w:type="dxa"/>
          </w:tcPr>
          <w:p w14:paraId="7DC1AE47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7126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697F28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难点：渲染参数设置</w:t>
            </w:r>
          </w:p>
        </w:tc>
        <w:tc>
          <w:tcPr>
            <w:tcW w:w="1467" w:type="dxa"/>
          </w:tcPr>
          <w:p w14:paraId="24604F8D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CA9E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5A4A39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案例-机器人渲染</w:t>
            </w:r>
          </w:p>
        </w:tc>
        <w:tc>
          <w:tcPr>
            <w:tcW w:w="1467" w:type="dxa"/>
          </w:tcPr>
          <w:p w14:paraId="31F524A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</w:tbl>
    <w:p w14:paraId="247D0F7B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4785FF02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07BF3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FB59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8227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2A73A2F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29EC3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37E1D4F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E3D75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57CDF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4557FC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01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87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005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4DEC9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4F42F1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88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705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14C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59057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9CB3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53B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9E7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3B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016A1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8E406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FC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5A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ADF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714BDF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6B879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77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23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9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60AB5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545E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D0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3B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CD2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20903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59D82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214B3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18F2A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C33C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96</w:t>
            </w:r>
          </w:p>
        </w:tc>
      </w:tr>
    </w:tbl>
    <w:p w14:paraId="7A06888E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391DF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319C28D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30FCDD1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3071E8B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67A7E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14A219F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6FFEFD19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3E23BF7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63B2F2F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3ACF0A8C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</w:pPr>
      <w:r>
        <w:rPr>
          <w:rFonts w:ascii="黑体" w:hAnsi="黑体" w:eastAsia="黑体"/>
          <w:sz w:val="24"/>
        </w:rPr>
        <w:t>1.</w:t>
      </w: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《CINEMA 4D R19建模/灯光/材质/渲染技术精粹与应用》是人民邮电出版社，2020年03月出版，作者87time。</w:t>
      </w:r>
    </w:p>
    <w:p w14:paraId="793DC6B3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2.《Cinema 4D R18基础与实战教程（全彩版）》是人民邮电出版社，2019年11月出版，作者宋鑫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12608A28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1C6AEC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DB6DF2">
    <w:pPr>
      <w:pStyle w:val="5"/>
    </w:pPr>
  </w:p>
  <w:p w14:paraId="761E4EF1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18A34B1"/>
    <w:rsid w:val="02727ED8"/>
    <w:rsid w:val="0E146C48"/>
    <w:rsid w:val="19D85E0D"/>
    <w:rsid w:val="1D7427A0"/>
    <w:rsid w:val="1E567848"/>
    <w:rsid w:val="249F5D13"/>
    <w:rsid w:val="279F712B"/>
    <w:rsid w:val="30C80FB3"/>
    <w:rsid w:val="32A75470"/>
    <w:rsid w:val="412973FE"/>
    <w:rsid w:val="42B705DC"/>
    <w:rsid w:val="439416B6"/>
    <w:rsid w:val="45B2474A"/>
    <w:rsid w:val="49D14436"/>
    <w:rsid w:val="4B3450AC"/>
    <w:rsid w:val="4FBB5DC2"/>
    <w:rsid w:val="51A93D45"/>
    <w:rsid w:val="52E144DC"/>
    <w:rsid w:val="52F71A4E"/>
    <w:rsid w:val="62F37800"/>
    <w:rsid w:val="67C03DCB"/>
    <w:rsid w:val="694A2606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1118</Words>
  <Characters>1321</Characters>
  <Lines>12</Lines>
  <Paragraphs>3</Paragraphs>
  <TotalTime>2</TotalTime>
  <ScaleCrop>false</ScaleCrop>
  <LinksUpToDate>false</LinksUpToDate>
  <CharactersWithSpaces>1500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2024-09-18T06:24:06Z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6E738A46D2784CFA8EC8E81ADF675ACA</vt:lpwstr>
  </property>
</Properties>
</file>