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88E71F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20BEB6A3">
      <w:pPr>
        <w:jc w:val="right"/>
      </w:pPr>
    </w:p>
    <w:p w14:paraId="0A12A688">
      <w:pPr>
        <w:jc w:val="right"/>
      </w:pPr>
    </w:p>
    <w:p w14:paraId="0CC44909">
      <w:pPr>
        <w:jc w:val="right"/>
      </w:pPr>
    </w:p>
    <w:p w14:paraId="023E21B2">
      <w:pPr>
        <w:rPr>
          <w:rFonts w:ascii="微软雅黑" w:hAnsi="微软雅黑" w:eastAsia="微软雅黑" w:cs="微软雅黑"/>
        </w:rPr>
      </w:pPr>
    </w:p>
    <w:p w14:paraId="0F574B0D">
      <w:pPr>
        <w:rPr>
          <w:rFonts w:ascii="微软雅黑" w:hAnsi="微软雅黑" w:eastAsia="微软雅黑" w:cs="微软雅黑"/>
        </w:rPr>
      </w:pPr>
    </w:p>
    <w:p w14:paraId="26F8755C">
      <w:pPr>
        <w:rPr>
          <w:rFonts w:ascii="微软雅黑" w:hAnsi="微软雅黑" w:eastAsia="微软雅黑" w:cs="微软雅黑"/>
        </w:rPr>
      </w:pPr>
    </w:p>
    <w:p w14:paraId="37DCBBA8">
      <w:pPr>
        <w:rPr>
          <w:rFonts w:ascii="微软雅黑" w:hAnsi="微软雅黑" w:eastAsia="微软雅黑" w:cs="微软雅黑"/>
        </w:rPr>
      </w:pPr>
    </w:p>
    <w:p w14:paraId="20E47F0E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F1E308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三维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影视包装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与片头设计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37F1E308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三维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影视包装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与片头设计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549EEFCF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D2B97B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4BD2B97B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19045315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15BE5984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数字媒体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15BE5984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数字媒体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5D844575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32764810">
      <w:pPr>
        <w:rPr>
          <w:rFonts w:ascii="微软雅黑" w:hAnsi="微软雅黑" w:eastAsia="微软雅黑" w:cs="微软雅黑"/>
        </w:rPr>
      </w:pPr>
    </w:p>
    <w:p w14:paraId="58826173">
      <w:pPr>
        <w:rPr>
          <w:rFonts w:ascii="微软雅黑" w:hAnsi="微软雅黑" w:eastAsia="微软雅黑" w:cs="微软雅黑"/>
        </w:rPr>
      </w:pPr>
    </w:p>
    <w:p w14:paraId="66F1227C">
      <w:pPr>
        <w:rPr>
          <w:rFonts w:ascii="微软雅黑" w:hAnsi="微软雅黑" w:eastAsia="微软雅黑" w:cs="微软雅黑"/>
        </w:rPr>
      </w:pPr>
    </w:p>
    <w:p w14:paraId="2573195E">
      <w:pPr>
        <w:rPr>
          <w:rFonts w:ascii="微软雅黑" w:hAnsi="微软雅黑" w:eastAsia="微软雅黑" w:cs="微软雅黑"/>
        </w:rPr>
      </w:pPr>
    </w:p>
    <w:p w14:paraId="463FC04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5327CD1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6795A4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1F32534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5E663A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18CA27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0BFD5602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1DA488C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C5C65CB">
      <w:pPr>
        <w:spacing w:line="360" w:lineRule="auto"/>
        <w:rPr>
          <w:rFonts w:hint="default" w:ascii="黑体" w:hAnsi="黑体" w:eastAsia="黑体"/>
          <w:sz w:val="24"/>
          <w:lang w:val="en-US" w:eastAsia="zh-CN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r>
        <w:rPr>
          <w:rFonts w:hint="eastAsia" w:ascii="黑体" w:hAnsi="黑体" w:eastAsia="黑体"/>
          <w:color w:val="auto"/>
          <w:sz w:val="24"/>
          <w:lang w:val="en-US" w:eastAsia="zh-CN"/>
        </w:rPr>
        <w:t>三维</w:t>
      </w:r>
      <w:r>
        <w:rPr>
          <w:rFonts w:hint="eastAsia" w:ascii="黑体" w:hAnsi="黑体" w:eastAsia="黑体"/>
          <w:sz w:val="24"/>
        </w:rPr>
        <w:t>影视包装</w:t>
      </w:r>
      <w:r>
        <w:rPr>
          <w:rFonts w:hint="eastAsia" w:ascii="黑体" w:hAnsi="黑体" w:eastAsia="黑体"/>
          <w:sz w:val="24"/>
          <w:lang w:val="en-US" w:eastAsia="zh-CN"/>
        </w:rPr>
        <w:t>与片头设计</w:t>
      </w:r>
      <w:bookmarkStart w:id="0" w:name="_GoBack"/>
      <w:bookmarkEnd w:id="0"/>
    </w:p>
    <w:p w14:paraId="37A2382B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 xml:space="preserve">总学时：160（理论学时：80；实践学时：80）   </w:t>
      </w:r>
    </w:p>
    <w:p w14:paraId="542CAF59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0CB8D918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598049B8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42089F50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这门课程主要讲授C4D软件通过第三方渲染器插件的OC（ OctaneRender）渲染器、阿诺德（Arnold）渲染器进行对制作的三维模型、动画等元素进行渲染，核心内容涵盖OC渲染器、阿诺德渲染器安装、材质、灯光、渲染及各自优缺。。</w:t>
      </w:r>
    </w:p>
    <w:p w14:paraId="7287A8BF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5BD29F9D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通过本课程的学习，学生可以使用OC（ OctaneRender）渲染器、阿诺德（Arnold）渲染器在实际项目中的作用，理解材质、灯光、渲染的设置方法及各自优缺，掌握C4D标准渲染器以外实际项目中的概念及行业规范操作。</w:t>
      </w:r>
    </w:p>
    <w:p w14:paraId="3EA6E7B2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09CD1AEF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该课程是专业必修课，前期需要《影视后期特效》、《三维模型设计》《影视包装动画技术》等课程的学习打下基础。为进阶课程《影视包装合成与校色》等相关课程的做准备。。</w:t>
      </w:r>
    </w:p>
    <w:p w14:paraId="7E74123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0D1479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61D366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第一章  OCTANE RENDER 渲染器</w:t>
            </w:r>
          </w:p>
        </w:tc>
        <w:tc>
          <w:tcPr>
            <w:tcW w:w="1467" w:type="dxa"/>
          </w:tcPr>
          <w:p w14:paraId="579C3A4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432231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7D40C6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主要知识点：掌握OCTANE RENDER 安装、灯光、摄像机、材质的基础设置及渲染输出方式。</w:t>
            </w:r>
          </w:p>
        </w:tc>
        <w:tc>
          <w:tcPr>
            <w:tcW w:w="1467" w:type="dxa"/>
          </w:tcPr>
          <w:p w14:paraId="458D533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ABDD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25ED95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重点：OCE安装及渲染输出</w:t>
            </w:r>
          </w:p>
        </w:tc>
        <w:tc>
          <w:tcPr>
            <w:tcW w:w="1467" w:type="dxa"/>
          </w:tcPr>
          <w:p w14:paraId="1B451FCD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406D38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E59F38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难点：OC的基础设置</w:t>
            </w:r>
          </w:p>
        </w:tc>
        <w:tc>
          <w:tcPr>
            <w:tcW w:w="1467" w:type="dxa"/>
          </w:tcPr>
          <w:p w14:paraId="690D1F7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2DEA11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007FD1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OCTANE RENDER 安装及及渲染输出</w:t>
            </w:r>
          </w:p>
        </w:tc>
        <w:tc>
          <w:tcPr>
            <w:tcW w:w="1467" w:type="dxa"/>
            <w:vAlign w:val="top"/>
          </w:tcPr>
          <w:p w14:paraId="151EBDC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18DD9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4A3B190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第二节 OCTANE RENDER 基础</w:t>
            </w:r>
          </w:p>
        </w:tc>
        <w:tc>
          <w:tcPr>
            <w:tcW w:w="1467" w:type="dxa"/>
            <w:vAlign w:val="top"/>
          </w:tcPr>
          <w:p w14:paraId="44E6B66C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496A7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E2DE16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第二章  OCTANE RENDER材质及预设</w:t>
            </w:r>
          </w:p>
        </w:tc>
        <w:tc>
          <w:tcPr>
            <w:tcW w:w="1467" w:type="dxa"/>
          </w:tcPr>
          <w:p w14:paraId="47D1A67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75A0D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143ECF12">
            <w:pPr>
              <w:spacing w:line="360" w:lineRule="auto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主要知识点：掌握OCTANE RENDER、常用材质的设置、节点编辑器及OC的分布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。</w:t>
            </w:r>
          </w:p>
        </w:tc>
        <w:tc>
          <w:tcPr>
            <w:tcW w:w="1467" w:type="dxa"/>
          </w:tcPr>
          <w:p w14:paraId="2B48E3D2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107A32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41B26C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重点：常用材质的参数设置</w:t>
            </w:r>
          </w:p>
        </w:tc>
        <w:tc>
          <w:tcPr>
            <w:tcW w:w="1467" w:type="dxa"/>
          </w:tcPr>
          <w:p w14:paraId="4710680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3680C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42C5E8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难点：节点编辑器及分布</w:t>
            </w:r>
          </w:p>
        </w:tc>
        <w:tc>
          <w:tcPr>
            <w:tcW w:w="1467" w:type="dxa"/>
          </w:tcPr>
          <w:p w14:paraId="2B4BE0A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A923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00E3BD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        第一节 OCTANE RENDER材质及预设</w:t>
            </w:r>
          </w:p>
        </w:tc>
        <w:tc>
          <w:tcPr>
            <w:tcW w:w="1467" w:type="dxa"/>
          </w:tcPr>
          <w:p w14:paraId="7079080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6D5FE9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67DD8207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第三章  OC案例-化妆品建模与渲染</w:t>
            </w:r>
          </w:p>
        </w:tc>
        <w:tc>
          <w:tcPr>
            <w:tcW w:w="1467" w:type="dxa"/>
          </w:tcPr>
          <w:p w14:paraId="19892E3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20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44624A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1566764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主要知识点：掌握OCTANE RENDER渲染器在实际案例中的参数使用与渲染效果。</w:t>
            </w:r>
          </w:p>
        </w:tc>
        <w:tc>
          <w:tcPr>
            <w:tcW w:w="1467" w:type="dxa"/>
          </w:tcPr>
          <w:p w14:paraId="3910470A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31B64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30FEE11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重点：OC渲染器参数使用</w:t>
            </w:r>
          </w:p>
        </w:tc>
        <w:tc>
          <w:tcPr>
            <w:tcW w:w="1467" w:type="dxa"/>
          </w:tcPr>
          <w:p w14:paraId="1BE61B2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FFEEE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4A561C9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难点：OC渲染器实际项目的运用</w:t>
            </w:r>
          </w:p>
        </w:tc>
        <w:tc>
          <w:tcPr>
            <w:tcW w:w="1467" w:type="dxa"/>
          </w:tcPr>
          <w:p w14:paraId="6338D84A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32BC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5EAF767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 OC案例-化妆品建模与渲染</w:t>
            </w:r>
          </w:p>
        </w:tc>
        <w:tc>
          <w:tcPr>
            <w:tcW w:w="1467" w:type="dxa"/>
          </w:tcPr>
          <w:p w14:paraId="60759AA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5334AB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</w:tcPr>
          <w:p w14:paraId="07346A9E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第四章 了解阿诺德（Arnold）渲染器安装布局及渲染</w:t>
            </w:r>
          </w:p>
        </w:tc>
        <w:tc>
          <w:tcPr>
            <w:tcW w:w="1467" w:type="dxa"/>
          </w:tcPr>
          <w:p w14:paraId="0C701D1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19CAE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9C41E02">
            <w:pPr>
              <w:spacing w:line="360" w:lineRule="auto"/>
              <w:ind w:left="19" w:leftChars="9" w:firstLine="818" w:firstLineChars="341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主要知识点：二级调色的工作方法、HSL选色工具使用、二级调色色彩曲线应用</w:t>
            </w:r>
          </w:p>
        </w:tc>
        <w:tc>
          <w:tcPr>
            <w:tcW w:w="1467" w:type="dxa"/>
          </w:tcPr>
          <w:p w14:paraId="2C34C8C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E1C08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F374D0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重点：阿诺德（Arnold）渲染器件布局使用</w:t>
            </w:r>
          </w:p>
        </w:tc>
        <w:tc>
          <w:tcPr>
            <w:tcW w:w="1467" w:type="dxa"/>
          </w:tcPr>
          <w:p w14:paraId="0657D2F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3C13D7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</w:tcPr>
          <w:p w14:paraId="3546479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难点：阿诺德（Arnold）渲染器的工作流程</w:t>
            </w:r>
          </w:p>
        </w:tc>
        <w:tc>
          <w:tcPr>
            <w:tcW w:w="1467" w:type="dxa"/>
          </w:tcPr>
          <w:p w14:paraId="60F9057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C5937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10A0E62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 阿诺德安装与布局使用</w:t>
            </w:r>
          </w:p>
        </w:tc>
        <w:tc>
          <w:tcPr>
            <w:tcW w:w="1467" w:type="dxa"/>
          </w:tcPr>
          <w:p w14:paraId="194EB87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7DCD0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15D52A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 xml:space="preserve">第二节 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黑体" w:hAnsi="黑体" w:eastAsia="黑体"/>
                <w:sz w:val="24"/>
              </w:rPr>
              <w:t>阿诺德工作流程</w:t>
            </w:r>
          </w:p>
        </w:tc>
        <w:tc>
          <w:tcPr>
            <w:tcW w:w="1467" w:type="dxa"/>
          </w:tcPr>
          <w:p w14:paraId="697B4DF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color w:val="000000"/>
                <w:sz w:val="24"/>
              </w:rPr>
              <w:t>掌握应用</w:t>
            </w:r>
          </w:p>
        </w:tc>
      </w:tr>
      <w:tr w14:paraId="23AB6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BC38C8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第五章  阿诺德的材质与灯光</w:t>
            </w:r>
          </w:p>
        </w:tc>
        <w:tc>
          <w:tcPr>
            <w:tcW w:w="1467" w:type="dxa"/>
          </w:tcPr>
          <w:p w14:paraId="141209B1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20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2F5A02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02010C6">
            <w:pPr>
              <w:spacing w:line="360" w:lineRule="auto"/>
              <w:ind w:firstLine="840" w:firstLineChars="350"/>
              <w:rPr>
                <w:rStyle w:val="10"/>
                <w:rFonts w:hint="eastAsia" w:ascii="黑体" w:hAnsi="黑体" w:eastAsia="黑体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主要知识点：掌握阿诺德中的不同类型灯光、材质及多种模拟材质使用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。</w:t>
            </w:r>
          </w:p>
        </w:tc>
        <w:tc>
          <w:tcPr>
            <w:tcW w:w="1467" w:type="dxa"/>
          </w:tcPr>
          <w:p w14:paraId="0904537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0F975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38BBAA8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重点：阿诺德中不同类型类型灯光</w:t>
            </w:r>
          </w:p>
        </w:tc>
        <w:tc>
          <w:tcPr>
            <w:tcW w:w="1467" w:type="dxa"/>
          </w:tcPr>
          <w:p w14:paraId="4443588B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217FE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7128" w:type="dxa"/>
          </w:tcPr>
          <w:p w14:paraId="2507D23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难点：塑料、玻璃、金属材质等多种模拟材质</w:t>
            </w:r>
          </w:p>
        </w:tc>
        <w:tc>
          <w:tcPr>
            <w:tcW w:w="1467" w:type="dxa"/>
          </w:tcPr>
          <w:p w14:paraId="2263F06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54ED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5DBF465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材质</w:t>
            </w:r>
          </w:p>
        </w:tc>
        <w:tc>
          <w:tcPr>
            <w:tcW w:w="1467" w:type="dxa"/>
            <w:vAlign w:val="top"/>
          </w:tcPr>
          <w:p w14:paraId="061D8E2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41C236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1B2B900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第二节 灯光</w:t>
            </w:r>
          </w:p>
        </w:tc>
        <w:tc>
          <w:tcPr>
            <w:tcW w:w="1467" w:type="dxa"/>
            <w:vAlign w:val="top"/>
          </w:tcPr>
          <w:p w14:paraId="2DA25E1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  <w:tr w14:paraId="34F4F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833DF4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第六章 阿诺德案例-机器人渲染</w:t>
            </w:r>
          </w:p>
        </w:tc>
        <w:tc>
          <w:tcPr>
            <w:tcW w:w="1467" w:type="dxa"/>
          </w:tcPr>
          <w:p w14:paraId="3130F33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（</w:t>
            </w:r>
            <w:r>
              <w:rPr>
                <w:rFonts w:hint="eastAsia" w:ascii="黑体" w:hAnsi="黑体" w:eastAsia="黑体"/>
                <w:sz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/>
                <w:sz w:val="24"/>
              </w:rPr>
              <w:t>学时）</w:t>
            </w:r>
          </w:p>
        </w:tc>
      </w:tr>
      <w:tr w14:paraId="02D981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7BB90BD2">
            <w:pPr>
              <w:spacing w:line="360" w:lineRule="auto"/>
              <w:ind w:firstLine="952" w:firstLineChars="397"/>
              <w:rPr>
                <w:rFonts w:hint="eastAsia" w:ascii="黑体" w:hAnsi="黑体" w:eastAsia="黑体"/>
                <w:sz w:val="24"/>
                <w:lang w:eastAsia="zh-CN"/>
              </w:rPr>
            </w:pPr>
            <w:r>
              <w:rPr>
                <w:rFonts w:hint="eastAsia" w:ascii="黑体" w:hAnsi="黑体" w:eastAsia="黑体"/>
                <w:sz w:val="24"/>
              </w:rPr>
              <w:t>主要知识点：阿诺德插件的渲染与参数设置</w:t>
            </w:r>
            <w:r>
              <w:rPr>
                <w:rFonts w:hint="eastAsia" w:ascii="黑体" w:hAnsi="黑体" w:eastAsia="黑体"/>
                <w:sz w:val="24"/>
                <w:lang w:eastAsia="zh-CN"/>
              </w:rPr>
              <w:t>。</w:t>
            </w:r>
          </w:p>
        </w:tc>
        <w:tc>
          <w:tcPr>
            <w:tcW w:w="1467" w:type="dxa"/>
          </w:tcPr>
          <w:p w14:paraId="16D8CEAC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6CD2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02D3157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重点：阿诺德渲染</w:t>
            </w:r>
          </w:p>
        </w:tc>
        <w:tc>
          <w:tcPr>
            <w:tcW w:w="1467" w:type="dxa"/>
          </w:tcPr>
          <w:p w14:paraId="7133CAB9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28B9C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6A7976DF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难点：渲染参数设置</w:t>
            </w:r>
          </w:p>
        </w:tc>
        <w:tc>
          <w:tcPr>
            <w:tcW w:w="1467" w:type="dxa"/>
          </w:tcPr>
          <w:p w14:paraId="6F7DB823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2622A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</w:tcPr>
          <w:p w14:paraId="2BCD41C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第一节 案例-机器人渲染</w:t>
            </w:r>
          </w:p>
        </w:tc>
        <w:tc>
          <w:tcPr>
            <w:tcW w:w="1467" w:type="dxa"/>
          </w:tcPr>
          <w:p w14:paraId="3676AB0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掌握应用</w:t>
            </w:r>
          </w:p>
        </w:tc>
      </w:tr>
    </w:tbl>
    <w:p w14:paraId="6AC5CDAA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780640CB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278D4D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75E81E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7021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17BA101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0D9D2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219B3D4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9C979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602856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F7A0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E1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0FD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61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63CB04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0C1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D00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524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B922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405551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120A7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22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7C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9FB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4081E7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FD53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086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15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5652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 w14:paraId="586D4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917F2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78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902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8F11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</w:tr>
      <w:tr w14:paraId="6B8655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DA68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AB3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6E8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4E9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黑体" w:hAnsi="黑体" w:eastAsia="黑体" w:cs="黑体"/>
                <w:b/>
                <w:bCs/>
                <w:sz w:val="24"/>
                <w:szCs w:val="24"/>
                <w:lang w:val="en-US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217327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B9308B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E71175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71A3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48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608033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96</w:t>
            </w:r>
          </w:p>
        </w:tc>
      </w:tr>
    </w:tbl>
    <w:p w14:paraId="52E64854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77289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688D718B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74BE52E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439EBA5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49EA4B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5A4407A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4BD1AE3D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3F2FC02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397F33CF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255D2E78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</w:pPr>
      <w:r>
        <w:rPr>
          <w:rFonts w:ascii="黑体" w:hAnsi="黑体" w:eastAsia="黑体"/>
          <w:sz w:val="24"/>
        </w:rPr>
        <w:t>1.</w:t>
      </w: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《CINEMA 4D R19建模/灯光/材质/渲染技术精粹与应用》是人民邮电出版社，2020年03月出版，作者87time。</w:t>
      </w:r>
    </w:p>
    <w:p w14:paraId="2DE9AFAE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2.《Cinema 4D R18基础与实战教程（全彩版）》是人民邮电出版社，2019年11月出版，作者宋鑫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651C9F62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8BFD58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4AE295C">
    <w:pPr>
      <w:pStyle w:val="5"/>
    </w:pPr>
  </w:p>
  <w:p w14:paraId="0140505E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18A34B1"/>
    <w:rsid w:val="02727ED8"/>
    <w:rsid w:val="0E146C48"/>
    <w:rsid w:val="1D7427A0"/>
    <w:rsid w:val="1E567848"/>
    <w:rsid w:val="249F5D13"/>
    <w:rsid w:val="279F712B"/>
    <w:rsid w:val="30C80FB3"/>
    <w:rsid w:val="32A75470"/>
    <w:rsid w:val="412973FE"/>
    <w:rsid w:val="42B705DC"/>
    <w:rsid w:val="439416B6"/>
    <w:rsid w:val="45B2474A"/>
    <w:rsid w:val="49D14436"/>
    <w:rsid w:val="4B3450AC"/>
    <w:rsid w:val="4FBB5DC2"/>
    <w:rsid w:val="51A93D45"/>
    <w:rsid w:val="52E144DC"/>
    <w:rsid w:val="52F71A4E"/>
    <w:rsid w:val="62F37800"/>
    <w:rsid w:val="67C03DCB"/>
    <w:rsid w:val="694A2606"/>
    <w:rsid w:val="72173831"/>
    <w:rsid w:val="7DEC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1118</Words>
  <Characters>1321</Characters>
  <Lines>12</Lines>
  <Paragraphs>3</Paragraphs>
  <TotalTime>2</TotalTime>
  <ScaleCrop>false</ScaleCrop>
  <LinksUpToDate>false</LinksUpToDate>
  <CharactersWithSpaces>1500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2024-09-18T06:27:48Z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6E738A46D2784CFA8EC8E81ADF675ACA</vt:lpwstr>
  </property>
</Properties>
</file>