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F1608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00212A5C">
      <w:pPr>
        <w:jc w:val="right"/>
      </w:pPr>
    </w:p>
    <w:p w14:paraId="7888A7CE">
      <w:pPr>
        <w:jc w:val="right"/>
      </w:pPr>
    </w:p>
    <w:p w14:paraId="78A71B31">
      <w:pPr>
        <w:jc w:val="right"/>
      </w:pPr>
    </w:p>
    <w:p w14:paraId="1F38E018">
      <w:pPr>
        <w:rPr>
          <w:rFonts w:ascii="微软雅黑" w:hAnsi="微软雅黑" w:eastAsia="微软雅黑" w:cs="微软雅黑"/>
        </w:rPr>
      </w:pPr>
    </w:p>
    <w:p w14:paraId="5D6CFD78">
      <w:pPr>
        <w:rPr>
          <w:rFonts w:ascii="微软雅黑" w:hAnsi="微软雅黑" w:eastAsia="微软雅黑" w:cs="微软雅黑"/>
        </w:rPr>
      </w:pPr>
    </w:p>
    <w:p w14:paraId="4BE2E340">
      <w:pPr>
        <w:rPr>
          <w:rFonts w:ascii="微软雅黑" w:hAnsi="微软雅黑" w:eastAsia="微软雅黑" w:cs="微软雅黑"/>
        </w:rPr>
      </w:pPr>
    </w:p>
    <w:p w14:paraId="76598626">
      <w:pPr>
        <w:rPr>
          <w:rFonts w:ascii="微软雅黑" w:hAnsi="微软雅黑" w:eastAsia="微软雅黑" w:cs="微软雅黑"/>
        </w:rPr>
      </w:pPr>
    </w:p>
    <w:p w14:paraId="3D587B56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1CC802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《数字调色技术》教学大纲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71CC802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《数字调色技术》教学大纲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DE05C32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9DB79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1D9DB79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067DF4A0">
      <w:pPr>
        <w:rPr>
          <w:rFonts w:ascii="方正准圆简体" w:eastAsia="方正准圆简体"/>
          <w:color w:val="F08300"/>
          <w:sz w:val="36"/>
          <w:szCs w:val="36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C257DF8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媒体技术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7C257DF8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媒体技术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30C5493A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0D4E2474">
      <w:pPr>
        <w:rPr>
          <w:rFonts w:ascii="微软雅黑" w:hAnsi="微软雅黑" w:eastAsia="微软雅黑" w:cs="微软雅黑"/>
        </w:rPr>
      </w:pPr>
    </w:p>
    <w:p w14:paraId="2194CAFB">
      <w:pPr>
        <w:rPr>
          <w:rFonts w:ascii="微软雅黑" w:hAnsi="微软雅黑" w:eastAsia="微软雅黑" w:cs="微软雅黑"/>
        </w:rPr>
      </w:pPr>
    </w:p>
    <w:p w14:paraId="0612F371">
      <w:pPr>
        <w:rPr>
          <w:rFonts w:ascii="微软雅黑" w:hAnsi="微软雅黑" w:eastAsia="微软雅黑" w:cs="微软雅黑"/>
        </w:rPr>
      </w:pPr>
    </w:p>
    <w:p w14:paraId="3B9D6EC6">
      <w:pPr>
        <w:rPr>
          <w:rFonts w:ascii="微软雅黑" w:hAnsi="微软雅黑" w:eastAsia="微软雅黑" w:cs="微软雅黑"/>
        </w:rPr>
      </w:pPr>
    </w:p>
    <w:p w14:paraId="59718381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561966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E59BFC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5F8481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29FAF6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DB18DC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3F29EB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0CD1449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70BAB5C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</w:rPr>
        <w:t xml:space="preserve">数字调色技术 </w:t>
      </w:r>
    </w:p>
    <w:p w14:paraId="5CB4CC73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96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641DFEFC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39F01CC8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7A03B340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038988F3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《数字调色技术》这门课程主要学习调色理论基础、调色流程、达芬奇调色软件具体操作、一级调色方法、二级调色方法，各类型影片调色案例。</w:t>
      </w:r>
    </w:p>
    <w:p w14:paraId="10993508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199BDCC2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通过本课程的学习，学生可以了解达芬奇调色软件的基础操作，理解影视调色的基本流程，掌握各短视频、宣传片、广告片的调色方法</w:t>
      </w:r>
      <w:r>
        <w:rPr>
          <w:rFonts w:hint="eastAsia" w:ascii="黑体" w:hAnsi="黑体" w:eastAsia="黑体"/>
          <w:sz w:val="24"/>
          <w:lang w:eastAsia="zh-CN"/>
        </w:rPr>
        <w:t>。</w:t>
      </w:r>
    </w:p>
    <w:p w14:paraId="442FCB4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63E6A3A3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该课程是专业必修课，前期需要《影视创意与策划》《影视后期包装与特效》《影视剪辑技术》等课程的学习打下基础。为进阶课程《数字短片创作》等相关课程的做准备。</w:t>
      </w:r>
    </w:p>
    <w:p w14:paraId="451CA3B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67922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506DD4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第一章  调色理论知识</w:t>
            </w:r>
          </w:p>
        </w:tc>
        <w:tc>
          <w:tcPr>
            <w:tcW w:w="1467" w:type="dxa"/>
          </w:tcPr>
          <w:p w14:paraId="66508E9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74795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95AD22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主要知识点：调色软件种类、当今调色行业的发展现状、调色的基础理论知识</w:t>
            </w:r>
          </w:p>
        </w:tc>
        <w:tc>
          <w:tcPr>
            <w:tcW w:w="1467" w:type="dxa"/>
          </w:tcPr>
          <w:p w14:paraId="730208F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2069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C6DC7A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重点：当今调色行业的发展现状</w:t>
            </w:r>
          </w:p>
        </w:tc>
        <w:tc>
          <w:tcPr>
            <w:tcW w:w="1467" w:type="dxa"/>
          </w:tcPr>
          <w:p w14:paraId="7CAD00C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96FC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E83861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难点：调色的基础理论知识</w:t>
            </w:r>
          </w:p>
        </w:tc>
        <w:tc>
          <w:tcPr>
            <w:tcW w:w="1467" w:type="dxa"/>
          </w:tcPr>
          <w:p w14:paraId="27BF78C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7956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971663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调色工业发展历程</w:t>
            </w:r>
          </w:p>
        </w:tc>
        <w:tc>
          <w:tcPr>
            <w:tcW w:w="1467" w:type="dxa"/>
          </w:tcPr>
          <w:p w14:paraId="3543AE9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167B7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3AD080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第二节 调色软件的分类</w:t>
            </w:r>
          </w:p>
        </w:tc>
        <w:tc>
          <w:tcPr>
            <w:tcW w:w="1467" w:type="dxa"/>
          </w:tcPr>
          <w:p w14:paraId="2DF37AE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理解</w:t>
            </w:r>
          </w:p>
        </w:tc>
      </w:tr>
      <w:tr w14:paraId="091C4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DF5502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第三节 调色理论基础知识</w:t>
            </w:r>
          </w:p>
        </w:tc>
        <w:tc>
          <w:tcPr>
            <w:tcW w:w="1467" w:type="dxa"/>
          </w:tcPr>
          <w:p w14:paraId="7DC7DFE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6995C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551BBD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第二章  达芬奇工作流程</w:t>
            </w:r>
          </w:p>
        </w:tc>
        <w:tc>
          <w:tcPr>
            <w:tcW w:w="1467" w:type="dxa"/>
          </w:tcPr>
          <w:p w14:paraId="7584A18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（1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4E395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D62106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主要知识点：项目建立、素材的管理、素材导入、各个板块的功能简介</w:t>
            </w:r>
          </w:p>
        </w:tc>
        <w:tc>
          <w:tcPr>
            <w:tcW w:w="1467" w:type="dxa"/>
          </w:tcPr>
          <w:p w14:paraId="523A77C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FC26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BAEAB3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重点：素材管理</w:t>
            </w:r>
          </w:p>
        </w:tc>
        <w:tc>
          <w:tcPr>
            <w:tcW w:w="1467" w:type="dxa"/>
          </w:tcPr>
          <w:p w14:paraId="6E51644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CFCA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0D6C08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难点：各个板块的功能简介</w:t>
            </w:r>
          </w:p>
        </w:tc>
        <w:tc>
          <w:tcPr>
            <w:tcW w:w="1467" w:type="dxa"/>
          </w:tcPr>
          <w:p w14:paraId="09DC4D0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A52C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679FA9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调色项目建立</w:t>
            </w:r>
          </w:p>
        </w:tc>
        <w:tc>
          <w:tcPr>
            <w:tcW w:w="1467" w:type="dxa"/>
          </w:tcPr>
          <w:p w14:paraId="6ACA411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6D9F1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512C6E1">
            <w:pPr>
              <w:spacing w:line="360" w:lineRule="auto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第二节 素材导入与管理</w:t>
            </w:r>
          </w:p>
        </w:tc>
        <w:tc>
          <w:tcPr>
            <w:tcW w:w="1467" w:type="dxa"/>
          </w:tcPr>
          <w:p w14:paraId="3384897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19357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0CA89D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第三节 各个模块的基本功能</w:t>
            </w:r>
          </w:p>
        </w:tc>
        <w:tc>
          <w:tcPr>
            <w:tcW w:w="1467" w:type="dxa"/>
          </w:tcPr>
          <w:p w14:paraId="0F4B17C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4B51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00533F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第三章  初级调色</w:t>
            </w:r>
          </w:p>
        </w:tc>
        <w:tc>
          <w:tcPr>
            <w:tcW w:w="1467" w:type="dxa"/>
          </w:tcPr>
          <w:p w14:paraId="2DA644A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4FDA8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A426BA1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主要知识点：示波器的使用、初级调色工作流程、初级调色各个功能键的具体操作应用</w:t>
            </w:r>
          </w:p>
        </w:tc>
        <w:tc>
          <w:tcPr>
            <w:tcW w:w="1467" w:type="dxa"/>
          </w:tcPr>
          <w:p w14:paraId="7502EF6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7F7D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DCF115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重点：示波器的使用</w:t>
            </w:r>
          </w:p>
        </w:tc>
        <w:tc>
          <w:tcPr>
            <w:tcW w:w="1467" w:type="dxa"/>
          </w:tcPr>
          <w:p w14:paraId="4A40000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4328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6FE53D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难点：初级调色各个功能键的具体操作应用</w:t>
            </w:r>
          </w:p>
        </w:tc>
        <w:tc>
          <w:tcPr>
            <w:tcW w:w="1467" w:type="dxa"/>
          </w:tcPr>
          <w:p w14:paraId="0B1C3B0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9BB3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E29A25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 示波器使用方法</w:t>
            </w:r>
          </w:p>
        </w:tc>
        <w:tc>
          <w:tcPr>
            <w:tcW w:w="1467" w:type="dxa"/>
          </w:tcPr>
          <w:p w14:paraId="37151B3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7AC9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D3B854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第二节  初级调色工作流程</w:t>
            </w:r>
          </w:p>
        </w:tc>
        <w:tc>
          <w:tcPr>
            <w:tcW w:w="1467" w:type="dxa"/>
          </w:tcPr>
          <w:p w14:paraId="7789928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12E8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</w:tcPr>
          <w:p w14:paraId="1ABBC6B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模式控制组应用</w:t>
            </w:r>
          </w:p>
        </w:tc>
        <w:tc>
          <w:tcPr>
            <w:tcW w:w="1467" w:type="dxa"/>
          </w:tcPr>
          <w:p w14:paraId="0F06C0D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7C15D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6F9372A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第四章 二级调色功能介绍</w:t>
            </w:r>
          </w:p>
        </w:tc>
        <w:tc>
          <w:tcPr>
            <w:tcW w:w="1467" w:type="dxa"/>
          </w:tcPr>
          <w:p w14:paraId="29A255E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（12学时）</w:t>
            </w:r>
          </w:p>
        </w:tc>
      </w:tr>
      <w:tr w14:paraId="3253F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5319E9F">
            <w:pPr>
              <w:spacing w:line="360" w:lineRule="auto"/>
              <w:ind w:left="19" w:leftChars="9" w:firstLine="818" w:firstLineChars="341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主要知识点：二级调色的工作方法、HSL选色工具使用、二级调色色彩曲线应用</w:t>
            </w:r>
          </w:p>
        </w:tc>
        <w:tc>
          <w:tcPr>
            <w:tcW w:w="1467" w:type="dxa"/>
          </w:tcPr>
          <w:p w14:paraId="265C930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185C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DED91D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重点：HSL选色工具使用</w:t>
            </w:r>
          </w:p>
        </w:tc>
        <w:tc>
          <w:tcPr>
            <w:tcW w:w="1467" w:type="dxa"/>
          </w:tcPr>
          <w:p w14:paraId="5655F8C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BE0D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</w:tcPr>
          <w:p w14:paraId="00E7A78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难点：二级调色色彩曲线应用</w:t>
            </w:r>
          </w:p>
        </w:tc>
        <w:tc>
          <w:tcPr>
            <w:tcW w:w="1467" w:type="dxa"/>
          </w:tcPr>
          <w:p w14:paraId="57240FC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53C8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DC4089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 二级调色的定义</w:t>
            </w:r>
          </w:p>
        </w:tc>
        <w:tc>
          <w:tcPr>
            <w:tcW w:w="1467" w:type="dxa"/>
          </w:tcPr>
          <w:p w14:paraId="2B5E80F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3F4EC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B56701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</w:rPr>
              <w:t>HSL选色工具的使用</w:t>
            </w:r>
          </w:p>
        </w:tc>
        <w:tc>
          <w:tcPr>
            <w:tcW w:w="1467" w:type="dxa"/>
          </w:tcPr>
          <w:p w14:paraId="129B713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2F41C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39EE02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第三节  跟踪选定区域调色</w:t>
            </w:r>
          </w:p>
        </w:tc>
        <w:tc>
          <w:tcPr>
            <w:tcW w:w="1467" w:type="dxa"/>
          </w:tcPr>
          <w:p w14:paraId="38EB00B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3340E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2BFF02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第四节 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</w:rPr>
              <w:t>调色曲线的应用</w:t>
            </w:r>
          </w:p>
        </w:tc>
        <w:tc>
          <w:tcPr>
            <w:tcW w:w="1467" w:type="dxa"/>
          </w:tcPr>
          <w:p w14:paraId="62576B89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3E6AB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D52BB4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第五章  节点的控制</w:t>
            </w:r>
          </w:p>
        </w:tc>
        <w:tc>
          <w:tcPr>
            <w:tcW w:w="1467" w:type="dxa"/>
          </w:tcPr>
          <w:p w14:paraId="729507A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0E5A6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C78F127">
            <w:pPr>
              <w:spacing w:line="360" w:lineRule="auto"/>
              <w:ind w:firstLine="840" w:firstLineChars="350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主要知识点：节点的分类、节点的结构、节点的应用</w:t>
            </w:r>
          </w:p>
        </w:tc>
        <w:tc>
          <w:tcPr>
            <w:tcW w:w="1467" w:type="dxa"/>
          </w:tcPr>
          <w:p w14:paraId="07EB2D3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B143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E30860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重点：节点的结构</w:t>
            </w:r>
          </w:p>
        </w:tc>
        <w:tc>
          <w:tcPr>
            <w:tcW w:w="1467" w:type="dxa"/>
          </w:tcPr>
          <w:p w14:paraId="6107266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162F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</w:tcPr>
          <w:p w14:paraId="203C572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难点：节点的应用</w:t>
            </w:r>
          </w:p>
        </w:tc>
        <w:tc>
          <w:tcPr>
            <w:tcW w:w="1467" w:type="dxa"/>
          </w:tcPr>
          <w:p w14:paraId="55EC6BD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92FB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AAE828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节点的分类</w:t>
            </w:r>
          </w:p>
        </w:tc>
        <w:tc>
          <w:tcPr>
            <w:tcW w:w="1467" w:type="dxa"/>
          </w:tcPr>
          <w:p w14:paraId="151DFE6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6C5CF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B7EF7D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第二节 节点的结构</w:t>
            </w:r>
          </w:p>
        </w:tc>
        <w:tc>
          <w:tcPr>
            <w:tcW w:w="1467" w:type="dxa"/>
          </w:tcPr>
          <w:p w14:paraId="18F2BA4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F09E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B4725F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第三节 节点的应用</w:t>
            </w:r>
          </w:p>
        </w:tc>
        <w:tc>
          <w:tcPr>
            <w:tcW w:w="1467" w:type="dxa"/>
          </w:tcPr>
          <w:p w14:paraId="16BCDF4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9D20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540859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第六章 各种风格调色案例讲解</w:t>
            </w:r>
          </w:p>
        </w:tc>
        <w:tc>
          <w:tcPr>
            <w:tcW w:w="1467" w:type="dxa"/>
          </w:tcPr>
          <w:p w14:paraId="4269214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6FDC5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319BB0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主要知识点：科技蓝风格调色方法、战争绿风格调色方法、疯狂棕调色方法、怀旧金调色方法</w:t>
            </w:r>
          </w:p>
        </w:tc>
        <w:tc>
          <w:tcPr>
            <w:tcW w:w="1467" w:type="dxa"/>
          </w:tcPr>
          <w:p w14:paraId="359000B6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6A09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356F47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重点：疯狂棕调色方法</w:t>
            </w:r>
          </w:p>
        </w:tc>
        <w:tc>
          <w:tcPr>
            <w:tcW w:w="1467" w:type="dxa"/>
          </w:tcPr>
          <w:p w14:paraId="58E9F1AE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AA90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50F8FF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难点：怀旧金调色方法</w:t>
            </w:r>
          </w:p>
        </w:tc>
        <w:tc>
          <w:tcPr>
            <w:tcW w:w="1467" w:type="dxa"/>
          </w:tcPr>
          <w:p w14:paraId="549076D4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47DE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DD9090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科技蓝风格调色方法</w:t>
            </w:r>
          </w:p>
        </w:tc>
        <w:tc>
          <w:tcPr>
            <w:tcW w:w="1467" w:type="dxa"/>
          </w:tcPr>
          <w:p w14:paraId="34FEE3A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2769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9C9388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第二节 战争绿风格调色方法</w:t>
            </w:r>
          </w:p>
        </w:tc>
        <w:tc>
          <w:tcPr>
            <w:tcW w:w="1467" w:type="dxa"/>
          </w:tcPr>
          <w:p w14:paraId="3E7A072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6B42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F0A6BA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第三节 疯狂棕调色方法</w:t>
            </w:r>
          </w:p>
        </w:tc>
        <w:tc>
          <w:tcPr>
            <w:tcW w:w="1467" w:type="dxa"/>
          </w:tcPr>
          <w:p w14:paraId="596E696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76C74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CEA6EE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第四节 怀旧金调色方法</w:t>
            </w:r>
          </w:p>
        </w:tc>
        <w:tc>
          <w:tcPr>
            <w:tcW w:w="1467" w:type="dxa"/>
          </w:tcPr>
          <w:p w14:paraId="4953BD0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EF2D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4A8F98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第七章  案例综合运用</w:t>
            </w:r>
          </w:p>
        </w:tc>
        <w:tc>
          <w:tcPr>
            <w:tcW w:w="1467" w:type="dxa"/>
          </w:tcPr>
          <w:p w14:paraId="34477D5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2F4A7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F737E50">
            <w:pPr>
              <w:spacing w:line="360" w:lineRule="auto"/>
              <w:ind w:firstLine="952" w:firstLineChars="397"/>
              <w:rPr>
                <w:rFonts w:hint="eastAsia" w:ascii="黑体" w:hAnsi="黑体" w:eastAsia="黑体"/>
                <w:b/>
                <w:bCs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主要知识点：理论与实践结合理论完成预期效果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，提高学生的动手操作能力和发散思。</w:t>
            </w:r>
          </w:p>
        </w:tc>
        <w:tc>
          <w:tcPr>
            <w:tcW w:w="1467" w:type="dxa"/>
          </w:tcPr>
          <w:p w14:paraId="7DEF97B7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D3D3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89CCA6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重点：提高学生的动手操作能力和发散思</w:t>
            </w:r>
          </w:p>
        </w:tc>
        <w:tc>
          <w:tcPr>
            <w:tcW w:w="1467" w:type="dxa"/>
          </w:tcPr>
          <w:p w14:paraId="42BAF920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D749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C1E583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难点：实践中做到最大化地挖掘学生的潜能</w:t>
            </w:r>
          </w:p>
        </w:tc>
        <w:tc>
          <w:tcPr>
            <w:tcW w:w="1467" w:type="dxa"/>
          </w:tcPr>
          <w:p w14:paraId="0734424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38ED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36F139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案例综合运用</w:t>
            </w:r>
          </w:p>
        </w:tc>
        <w:tc>
          <w:tcPr>
            <w:tcW w:w="1467" w:type="dxa"/>
          </w:tcPr>
          <w:p w14:paraId="791D915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</w:tbl>
    <w:p w14:paraId="0DDD06EC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6CA72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5151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EBB1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1924865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A0C4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6854C7F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C799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5E1CE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D4C5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86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88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C0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5CED8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D2FD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7E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6B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21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3C98A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A6FF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3D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C2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2D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7290B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D02D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D0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7E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42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7A23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A27B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37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50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36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72B34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893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21F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2D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75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6F429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6568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46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64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77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DAC4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8F63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AA44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36E1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D2D0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96</w:t>
            </w:r>
          </w:p>
        </w:tc>
      </w:tr>
    </w:tbl>
    <w:p w14:paraId="35E97EA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4ECF3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7C6254A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CF26D1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D34DB7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56454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1C1C1F4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683812C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30B0A38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D36F7E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75D95AD9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ascii="黑体" w:hAnsi="黑体" w:eastAsia="黑体"/>
          <w:sz w:val="24"/>
        </w:rPr>
        <w:t>1.《</w:t>
      </w:r>
      <w:r>
        <w:rPr>
          <w:rFonts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数字调色的艺术图解DaVinci Resolve</w:t>
      </w:r>
      <w:r>
        <w:rPr>
          <w:rFonts w:hint="default" w:ascii="Cambria" w:hAnsi="Cambria" w:eastAsia="黑体" w:cs="Cambria"/>
          <w:color w:val="000000"/>
          <w:sz w:val="24"/>
          <w:szCs w:val="24"/>
          <w:shd w:val="clear" w:color="auto" w:fill="FFFFFF"/>
        </w:rPr>
        <w:t> </w:t>
      </w:r>
      <w:r>
        <w:rPr>
          <w:rFonts w:ascii="黑体" w:hAnsi="黑体" w:eastAsia="黑体"/>
          <w:sz w:val="24"/>
        </w:rPr>
        <w:t>》</w:t>
      </w:r>
      <w:r>
        <w:rPr>
          <w:rFonts w:ascii="黑体" w:hAnsi="黑体" w:eastAsia="黑体"/>
          <w:b w:val="0"/>
          <w:bCs/>
          <w:sz w:val="24"/>
        </w:rPr>
        <w:t>是电子工业出版社，2015年2月出版，作者</w:t>
      </w:r>
      <w:r>
        <w:rPr>
          <w:rFonts w:ascii="黑体" w:hAnsi="黑体" w:eastAsia="黑体" w:cs="宋体"/>
          <w:b w:val="0"/>
          <w:bCs/>
          <w:color w:val="404040"/>
          <w:sz w:val="24"/>
          <w:szCs w:val="24"/>
          <w:shd w:val="clear" w:color="auto" w:fill="FFFFFF"/>
        </w:rPr>
        <w:t>张宁,何潞申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00F7623C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A266E0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0C8BAD1">
    <w:pPr>
      <w:pStyle w:val="5"/>
    </w:pPr>
  </w:p>
  <w:p w14:paraId="34685AF7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3534FE5"/>
    <w:rsid w:val="17F3023E"/>
    <w:rsid w:val="1C915D6B"/>
    <w:rsid w:val="25B3069D"/>
    <w:rsid w:val="2A5B7968"/>
    <w:rsid w:val="2C565BF0"/>
    <w:rsid w:val="2DB9081B"/>
    <w:rsid w:val="38FD478B"/>
    <w:rsid w:val="3AA931EF"/>
    <w:rsid w:val="45DB6A78"/>
    <w:rsid w:val="469E5BA0"/>
    <w:rsid w:val="48565574"/>
    <w:rsid w:val="496E13C3"/>
    <w:rsid w:val="4D2A6229"/>
    <w:rsid w:val="502A630F"/>
    <w:rsid w:val="52E144DC"/>
    <w:rsid w:val="52F71A4E"/>
    <w:rsid w:val="5C000AA2"/>
    <w:rsid w:val="62F37800"/>
    <w:rsid w:val="64772F11"/>
    <w:rsid w:val="65225AD2"/>
    <w:rsid w:val="6C9F6852"/>
    <w:rsid w:val="74E25E76"/>
    <w:rsid w:val="7630046B"/>
    <w:rsid w:val="793A5185"/>
    <w:rsid w:val="7B4F73D3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1245</Words>
  <Characters>1292</Characters>
  <Lines>12</Lines>
  <Paragraphs>3</Paragraphs>
  <TotalTime>1</TotalTime>
  <ScaleCrop>false</ScaleCrop>
  <LinksUpToDate>false</LinksUpToDate>
  <CharactersWithSpaces>1496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2024-09-18T06:32:23Z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C87540122C304EE6BC5F0AC7E13FC98F</vt:lpwstr>
  </property>
</Properties>
</file>