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1CEF0E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-1703705</wp:posOffset>
            </wp:positionH>
            <wp:positionV relativeFrom="paragraph">
              <wp:posOffset>-1151890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5F223C07">
      <w:pPr>
        <w:jc w:val="right"/>
      </w:pPr>
    </w:p>
    <w:p w14:paraId="6536B674">
      <w:pPr>
        <w:jc w:val="right"/>
      </w:pPr>
    </w:p>
    <w:p w14:paraId="7EFBC36F">
      <w:pPr>
        <w:jc w:val="right"/>
      </w:pPr>
    </w:p>
    <w:p w14:paraId="0BAC5BCF">
      <w:pPr>
        <w:rPr>
          <w:rFonts w:ascii="微软雅黑" w:hAnsi="微软雅黑" w:eastAsia="微软雅黑" w:cs="微软雅黑"/>
        </w:rPr>
      </w:pPr>
    </w:p>
    <w:p w14:paraId="6A8BA6E2">
      <w:pPr>
        <w:rPr>
          <w:rFonts w:ascii="微软雅黑" w:hAnsi="微软雅黑" w:eastAsia="微软雅黑" w:cs="微软雅黑"/>
        </w:rPr>
      </w:pPr>
    </w:p>
    <w:p w14:paraId="1AA83BDA">
      <w:pPr>
        <w:rPr>
          <w:rFonts w:ascii="微软雅黑" w:hAnsi="微软雅黑" w:eastAsia="微软雅黑" w:cs="微软雅黑"/>
        </w:rPr>
      </w:pPr>
    </w:p>
    <w:p w14:paraId="4A8271C5">
      <w:pPr>
        <w:rPr>
          <w:rFonts w:ascii="微软雅黑" w:hAnsi="微软雅黑" w:eastAsia="微软雅黑" w:cs="微软雅黑"/>
        </w:rPr>
      </w:pPr>
    </w:p>
    <w:p w14:paraId="302DB2A8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8334A7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无人机航拍技术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》教学大纲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3D8334A7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无人机航拍技术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》教学大纲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7BAA5421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D761C7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  <w:t>创意短视频方向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37D761C7">
                      <w:pPr>
                        <w:jc w:val="center"/>
                        <w:rPr>
                          <w:rFonts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  <w:t>创意短视频方向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6D3D0DAD">
      <w:pPr>
        <w:rPr>
          <w:rFonts w:ascii="方正准圆简体" w:eastAsia="方正准圆简体"/>
          <w:color w:val="F083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A2EC3CB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数字媒体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4A2EC3CB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数字媒体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547CF970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1ECEB42F">
      <w:pPr>
        <w:rPr>
          <w:rFonts w:ascii="微软雅黑" w:hAnsi="微软雅黑" w:eastAsia="微软雅黑" w:cs="微软雅黑"/>
        </w:rPr>
      </w:pPr>
    </w:p>
    <w:p w14:paraId="2658BD69">
      <w:pPr>
        <w:rPr>
          <w:rFonts w:ascii="微软雅黑" w:hAnsi="微软雅黑" w:eastAsia="微软雅黑" w:cs="微软雅黑"/>
        </w:rPr>
      </w:pPr>
    </w:p>
    <w:p w14:paraId="74967E3A">
      <w:pPr>
        <w:rPr>
          <w:rFonts w:ascii="微软雅黑" w:hAnsi="微软雅黑" w:eastAsia="微软雅黑" w:cs="微软雅黑"/>
        </w:rPr>
      </w:pPr>
    </w:p>
    <w:p w14:paraId="716CF01F">
      <w:pPr>
        <w:rPr>
          <w:rFonts w:ascii="微软雅黑" w:hAnsi="微软雅黑" w:eastAsia="微软雅黑" w:cs="微软雅黑"/>
        </w:rPr>
      </w:pPr>
    </w:p>
    <w:p w14:paraId="425EE4F4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656C9F5D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1E6FC868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33D16DB6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10AD9466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36A610EA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55311E5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52762624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08A0F6AB">
      <w:pPr>
        <w:spacing w:line="360" w:lineRule="auto"/>
        <w:rPr>
          <w:rFonts w:hint="default" w:ascii="黑体" w:hAnsi="黑体" w:eastAsia="黑体"/>
          <w:sz w:val="24"/>
          <w:lang w:val="en-US" w:eastAsia="zh-CN"/>
        </w:rPr>
      </w:pPr>
      <w:r>
        <w:rPr>
          <w:rFonts w:hint="eastAsia" w:ascii="宋体" w:hAnsi="宋体"/>
          <w:sz w:val="24"/>
        </w:rPr>
        <w:t>课</w:t>
      </w:r>
      <w:r>
        <w:rPr>
          <w:rFonts w:hint="eastAsia" w:ascii="黑体" w:hAnsi="黑体" w:eastAsia="黑体"/>
          <w:sz w:val="24"/>
        </w:rPr>
        <w:t>程名称</w:t>
      </w:r>
      <w:r>
        <w:rPr>
          <w:rFonts w:hint="eastAsia" w:ascii="黑体" w:hAnsi="黑体" w:eastAsia="黑体"/>
          <w:color w:val="002060"/>
          <w:sz w:val="24"/>
        </w:rPr>
        <w:t>：</w:t>
      </w:r>
      <w:r>
        <w:rPr>
          <w:rFonts w:hint="eastAsia" w:ascii="黑体" w:hAnsi="黑体" w:eastAsia="黑体"/>
          <w:color w:val="auto"/>
          <w:sz w:val="24"/>
          <w:lang w:val="en-US" w:eastAsia="zh-CN"/>
        </w:rPr>
        <w:t>无人机航拍技术</w:t>
      </w:r>
    </w:p>
    <w:p w14:paraId="1954AA07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总学时：</w:t>
      </w:r>
      <w:r>
        <w:rPr>
          <w:rFonts w:hint="eastAsia" w:ascii="黑体" w:hAnsi="黑体" w:eastAsia="黑体"/>
          <w:sz w:val="24"/>
          <w:lang w:val="en-US" w:eastAsia="zh-CN"/>
        </w:rPr>
        <w:t>128</w:t>
      </w:r>
      <w:r>
        <w:rPr>
          <w:rFonts w:hint="eastAsia" w:ascii="黑体" w:hAnsi="黑体" w:eastAsia="黑体"/>
          <w:sz w:val="24"/>
        </w:rPr>
        <w:t>（理论学时：</w:t>
      </w:r>
      <w:r>
        <w:rPr>
          <w:rFonts w:hint="eastAsia" w:ascii="黑体" w:hAnsi="黑体" w:eastAsia="黑体"/>
          <w:sz w:val="24"/>
          <w:lang w:val="en-US" w:eastAsia="zh-CN"/>
        </w:rPr>
        <w:t>64</w:t>
      </w:r>
      <w:r>
        <w:rPr>
          <w:rFonts w:hint="eastAsia" w:ascii="黑体" w:hAnsi="黑体" w:eastAsia="黑体"/>
          <w:sz w:val="24"/>
        </w:rPr>
        <w:t>；实践学时：</w:t>
      </w:r>
      <w:r>
        <w:rPr>
          <w:rFonts w:hint="eastAsia" w:ascii="黑体" w:hAnsi="黑体" w:eastAsia="黑体"/>
          <w:sz w:val="24"/>
          <w:lang w:val="en-US" w:eastAsia="zh-CN"/>
        </w:rPr>
        <w:t>64</w:t>
      </w:r>
      <w:r>
        <w:rPr>
          <w:rFonts w:hint="eastAsia" w:ascii="黑体" w:hAnsi="黑体" w:eastAsia="黑体"/>
          <w:sz w:val="24"/>
        </w:rPr>
        <w:t xml:space="preserve">）   </w:t>
      </w:r>
    </w:p>
    <w:p w14:paraId="5F819906">
      <w:pPr>
        <w:spacing w:line="360" w:lineRule="auto"/>
        <w:rPr>
          <w:rFonts w:ascii="黑体" w:hAnsi="黑体" w:eastAsia="黑体"/>
          <w:color w:val="FF0000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课程类型：专业核心课  </w:t>
      </w:r>
    </w:p>
    <w:p w14:paraId="47C20FAE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学分：4 </w:t>
      </w:r>
      <w:r>
        <w:rPr>
          <w:rFonts w:ascii="黑体" w:hAnsi="黑体" w:eastAsia="黑体"/>
          <w:color w:val="FF0000"/>
          <w:sz w:val="24"/>
        </w:rPr>
        <w:t xml:space="preserve"> </w:t>
      </w:r>
      <w:r>
        <w:rPr>
          <w:rFonts w:hint="eastAsia" w:ascii="黑体" w:hAnsi="黑体" w:eastAsia="黑体"/>
          <w:sz w:val="24"/>
        </w:rPr>
        <w:t xml:space="preserve">    </w:t>
      </w:r>
    </w:p>
    <w:p w14:paraId="632553B7">
      <w:pPr>
        <w:spacing w:line="360" w:lineRule="auto"/>
        <w:rPr>
          <w:rFonts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一、课程简介</w:t>
      </w:r>
    </w:p>
    <w:p w14:paraId="0990AD9F">
      <w:pPr>
        <w:keepNext w:val="0"/>
        <w:keepLines w:val="0"/>
        <w:pageBreakBefore w:val="0"/>
        <w:widowControl/>
        <w:tabs>
          <w:tab w:val="left" w:pos="1260"/>
        </w:tabs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黑体" w:hAnsi="黑体" w:eastAsia="黑体" w:cs="黑体"/>
          <w:bCs/>
          <w:kern w:val="0"/>
          <w:sz w:val="24"/>
          <w:szCs w:val="24"/>
        </w:rPr>
      </w:pPr>
      <w:r>
        <w:rPr>
          <w:rFonts w:hint="eastAsia" w:ascii="黑体" w:hAnsi="黑体" w:eastAsia="黑体" w:cs="黑体"/>
          <w:bCs/>
          <w:kern w:val="0"/>
          <w:sz w:val="24"/>
          <w:szCs w:val="24"/>
        </w:rPr>
        <w:t>本课程为</w:t>
      </w:r>
      <w:r>
        <w:rPr>
          <w:rFonts w:hint="eastAsia" w:ascii="黑体" w:hAnsi="黑体" w:eastAsia="黑体" w:cs="黑体"/>
          <w:bCs/>
          <w:kern w:val="0"/>
          <w:sz w:val="24"/>
          <w:szCs w:val="24"/>
          <w:lang w:val="en-US" w:eastAsia="zh-CN"/>
        </w:rPr>
        <w:t>融媒体技术与运营</w:t>
      </w:r>
      <w:r>
        <w:rPr>
          <w:rFonts w:hint="eastAsia" w:ascii="黑体" w:hAnsi="黑体" w:eastAsia="黑体" w:cs="黑体"/>
          <w:bCs/>
          <w:kern w:val="0"/>
          <w:sz w:val="24"/>
          <w:szCs w:val="24"/>
        </w:rPr>
        <w:t>专业核心</w:t>
      </w:r>
      <w:r>
        <w:rPr>
          <w:rFonts w:hint="eastAsia" w:ascii="黑体" w:hAnsi="黑体" w:eastAsia="黑体" w:cs="黑体"/>
          <w:bCs/>
          <w:kern w:val="0"/>
          <w:sz w:val="24"/>
          <w:szCs w:val="24"/>
          <w:lang w:val="en-US" w:eastAsia="zh-CN"/>
        </w:rPr>
        <w:t>必修</w:t>
      </w:r>
      <w:r>
        <w:rPr>
          <w:rFonts w:hint="eastAsia" w:ascii="黑体" w:hAnsi="黑体" w:eastAsia="黑体" w:cs="黑体"/>
          <w:bCs/>
          <w:kern w:val="0"/>
          <w:sz w:val="24"/>
          <w:szCs w:val="24"/>
        </w:rPr>
        <w:t>课程，旨在培养学生的关键技能。作为专业必修课程之一，其功能在于通过实际操作和理论学习，通过专业设备操作和实际项目案例，培养学生的能力。</w:t>
      </w:r>
    </w:p>
    <w:p w14:paraId="7C2F77E4">
      <w:pPr>
        <w:keepNext w:val="0"/>
        <w:keepLines w:val="0"/>
        <w:pageBreakBefore w:val="0"/>
        <w:widowControl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黑体" w:hAnsi="黑体" w:eastAsia="黑体" w:cs="黑体"/>
          <w:bCs/>
          <w:kern w:val="0"/>
          <w:sz w:val="24"/>
          <w:szCs w:val="24"/>
        </w:rPr>
      </w:pPr>
      <w:r>
        <w:rPr>
          <w:rFonts w:hint="eastAsia" w:ascii="黑体" w:hAnsi="黑体" w:eastAsia="黑体" w:cs="黑体"/>
          <w:bCs/>
          <w:kern w:val="0"/>
          <w:sz w:val="24"/>
          <w:szCs w:val="24"/>
        </w:rPr>
        <w:t>本课程与前修课程《</w:t>
      </w:r>
      <w:r>
        <w:rPr>
          <w:rFonts w:hint="eastAsia" w:ascii="黑体" w:hAnsi="黑体" w:eastAsia="黑体" w:cs="黑体"/>
          <w:bCs/>
          <w:kern w:val="0"/>
          <w:sz w:val="24"/>
          <w:szCs w:val="24"/>
          <w:lang w:val="en-US" w:eastAsia="zh-CN"/>
        </w:rPr>
        <w:t>影视剪辑技术</w:t>
      </w:r>
      <w:r>
        <w:rPr>
          <w:rFonts w:hint="eastAsia" w:ascii="黑体" w:hAnsi="黑体" w:eastAsia="黑体" w:cs="黑体"/>
          <w:bCs/>
          <w:kern w:val="0"/>
          <w:sz w:val="24"/>
          <w:szCs w:val="24"/>
        </w:rPr>
        <w:t>》紧密相连，共同构建学生的专业知识体系。同时，与后续课程《</w:t>
      </w:r>
      <w:r>
        <w:rPr>
          <w:rFonts w:hint="eastAsia" w:ascii="黑体" w:hAnsi="黑体" w:eastAsia="黑体" w:cs="黑体"/>
          <w:bCs/>
          <w:kern w:val="0"/>
          <w:sz w:val="24"/>
          <w:szCs w:val="24"/>
          <w:lang w:val="en-US" w:eastAsia="zh-CN"/>
        </w:rPr>
        <w:t>720全景缝合与发布</w:t>
      </w:r>
      <w:r>
        <w:rPr>
          <w:rFonts w:hint="eastAsia" w:ascii="黑体" w:hAnsi="黑体" w:eastAsia="黑体" w:cs="黑体"/>
          <w:bCs/>
          <w:kern w:val="0"/>
          <w:sz w:val="24"/>
          <w:szCs w:val="24"/>
        </w:rPr>
        <w:t>》和《</w:t>
      </w:r>
      <w:r>
        <w:rPr>
          <w:rFonts w:hint="eastAsia" w:ascii="黑体" w:hAnsi="黑体" w:eastAsia="黑体" w:cs="黑体"/>
          <w:bCs/>
          <w:kern w:val="0"/>
          <w:sz w:val="24"/>
          <w:szCs w:val="24"/>
          <w:lang w:val="en-US" w:eastAsia="zh-CN"/>
        </w:rPr>
        <w:t>影视视听语言</w:t>
      </w:r>
      <w:r>
        <w:rPr>
          <w:rFonts w:hint="eastAsia" w:ascii="黑体" w:hAnsi="黑体" w:eastAsia="黑体" w:cs="黑体"/>
          <w:bCs/>
          <w:kern w:val="0"/>
          <w:sz w:val="24"/>
          <w:szCs w:val="24"/>
        </w:rPr>
        <w:t>》相衔接，共同培养学生的全面能力。</w:t>
      </w:r>
    </w:p>
    <w:p w14:paraId="778CCB23">
      <w:pPr>
        <w:keepNext w:val="0"/>
        <w:keepLines w:val="0"/>
        <w:pageBreakBefore w:val="0"/>
        <w:widowControl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黑体" w:hAnsi="黑体" w:eastAsia="黑体" w:cs="黑体"/>
          <w:bCs/>
          <w:kern w:val="0"/>
          <w:sz w:val="24"/>
          <w:szCs w:val="24"/>
        </w:rPr>
      </w:pPr>
      <w:r>
        <w:rPr>
          <w:rFonts w:hint="eastAsia" w:ascii="黑体" w:hAnsi="黑体" w:eastAsia="黑体" w:cs="黑体"/>
          <w:bCs/>
          <w:kern w:val="0"/>
          <w:sz w:val="24"/>
          <w:szCs w:val="24"/>
        </w:rPr>
        <w:t>《无人机航拍技术》课程旨在培养学生对无人机的理论与实践技能，包括飞行操作、拍摄原理、数据处理等，使其能独立执行航拍任务，具备在相关行业从事航拍工作所需的综合能力，促进无人机技术的应用与创新。</w:t>
      </w:r>
    </w:p>
    <w:p w14:paraId="17E18334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本课程的教学目标</w:t>
      </w:r>
    </w:p>
    <w:p w14:paraId="090C69AE">
      <w:pPr>
        <w:keepNext w:val="0"/>
        <w:keepLines w:val="0"/>
        <w:pageBreakBefore w:val="0"/>
        <w:widowControl/>
        <w:tabs>
          <w:tab w:val="left" w:pos="1260"/>
        </w:tabs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黑体" w:hAnsi="黑体" w:eastAsia="黑体" w:cs="黑体"/>
          <w:bCs/>
          <w:kern w:val="0"/>
          <w:sz w:val="24"/>
          <w:szCs w:val="24"/>
        </w:rPr>
      </w:pPr>
      <w:r>
        <w:rPr>
          <w:rFonts w:hint="eastAsia" w:ascii="黑体" w:hAnsi="黑体" w:eastAsia="黑体" w:cs="黑体"/>
          <w:bCs/>
          <w:kern w:val="0"/>
          <w:sz w:val="24"/>
          <w:szCs w:val="24"/>
        </w:rPr>
        <w:t>《无人机航拍技术》课程设计旨在全面培养学生的无人机航拍技能，涵盖理论知识、实操操作和实际项目应用，以下是设计思路的主要要点：</w:t>
      </w:r>
    </w:p>
    <w:p w14:paraId="39580724">
      <w:pPr>
        <w:keepNext w:val="0"/>
        <w:keepLines w:val="0"/>
        <w:pageBreakBefore w:val="0"/>
        <w:widowControl/>
        <w:tabs>
          <w:tab w:val="left" w:pos="1260"/>
        </w:tabs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黑体" w:hAnsi="黑体" w:eastAsia="黑体" w:cs="黑体"/>
          <w:bCs/>
          <w:kern w:val="0"/>
          <w:sz w:val="24"/>
          <w:szCs w:val="24"/>
        </w:rPr>
      </w:pPr>
      <w:r>
        <w:rPr>
          <w:rFonts w:hint="eastAsia" w:ascii="黑体" w:hAnsi="黑体" w:eastAsia="黑体" w:cs="黑体"/>
          <w:bCs/>
          <w:kern w:val="0"/>
          <w:sz w:val="24"/>
          <w:szCs w:val="24"/>
          <w:lang w:eastAsia="zh-CN"/>
        </w:rPr>
        <w:t>（</w:t>
      </w:r>
      <w:r>
        <w:rPr>
          <w:rFonts w:hint="eastAsia" w:ascii="黑体" w:hAnsi="黑体" w:eastAsia="黑体" w:cs="黑体"/>
          <w:bCs/>
          <w:kern w:val="0"/>
          <w:sz w:val="24"/>
          <w:szCs w:val="24"/>
          <w:lang w:val="en-US" w:eastAsia="zh-CN"/>
        </w:rPr>
        <w:t>1</w:t>
      </w:r>
      <w:r>
        <w:rPr>
          <w:rFonts w:hint="eastAsia" w:ascii="黑体" w:hAnsi="黑体" w:eastAsia="黑体" w:cs="黑体"/>
          <w:bCs/>
          <w:kern w:val="0"/>
          <w:sz w:val="24"/>
          <w:szCs w:val="24"/>
          <w:lang w:eastAsia="zh-CN"/>
        </w:rPr>
        <w:t>）</w:t>
      </w:r>
      <w:r>
        <w:rPr>
          <w:rFonts w:hint="eastAsia" w:ascii="黑体" w:hAnsi="黑体" w:eastAsia="黑体" w:cs="黑体"/>
          <w:bCs/>
          <w:kern w:val="0"/>
          <w:sz w:val="24"/>
          <w:szCs w:val="24"/>
        </w:rPr>
        <w:t>课程结构设计</w:t>
      </w:r>
    </w:p>
    <w:p w14:paraId="5A47C49E">
      <w:pPr>
        <w:keepNext w:val="0"/>
        <w:keepLines w:val="0"/>
        <w:pageBreakBefore w:val="0"/>
        <w:widowControl/>
        <w:tabs>
          <w:tab w:val="left" w:pos="1260"/>
        </w:tabs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黑体" w:hAnsi="黑体" w:eastAsia="黑体" w:cs="黑体"/>
          <w:bCs/>
          <w:kern w:val="0"/>
          <w:sz w:val="24"/>
          <w:szCs w:val="24"/>
        </w:rPr>
      </w:pPr>
      <w:r>
        <w:rPr>
          <w:rFonts w:hint="eastAsia" w:ascii="黑体" w:hAnsi="黑体" w:eastAsia="黑体" w:cs="黑体"/>
          <w:bCs/>
          <w:kern w:val="0"/>
          <w:sz w:val="24"/>
          <w:szCs w:val="24"/>
        </w:rPr>
        <w:t>1.基础知识阶段：着重介绍无人机的定义、分类、结构和基本原理，为学生建立对无人机航拍技术的整体认知。</w:t>
      </w:r>
    </w:p>
    <w:p w14:paraId="37893FDB">
      <w:pPr>
        <w:keepNext w:val="0"/>
        <w:keepLines w:val="0"/>
        <w:pageBreakBefore w:val="0"/>
        <w:widowControl/>
        <w:tabs>
          <w:tab w:val="left" w:pos="1260"/>
        </w:tabs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黑体" w:hAnsi="黑体" w:eastAsia="黑体" w:cs="黑体"/>
          <w:bCs/>
          <w:kern w:val="0"/>
          <w:sz w:val="24"/>
          <w:szCs w:val="24"/>
        </w:rPr>
      </w:pPr>
      <w:r>
        <w:rPr>
          <w:rFonts w:hint="eastAsia" w:ascii="黑体" w:hAnsi="黑体" w:eastAsia="黑体" w:cs="黑体"/>
          <w:bCs/>
          <w:kern w:val="0"/>
          <w:sz w:val="24"/>
          <w:szCs w:val="24"/>
        </w:rPr>
        <w:t>2.技术操作阶段：强调无人机的操作技能，包括起飞、降落、遥控操控等，通过模拟训练和实地操作提高学生的实操水平。</w:t>
      </w:r>
    </w:p>
    <w:p w14:paraId="099B0F5A">
      <w:pPr>
        <w:keepNext w:val="0"/>
        <w:keepLines w:val="0"/>
        <w:pageBreakBefore w:val="0"/>
        <w:widowControl/>
        <w:tabs>
          <w:tab w:val="left" w:pos="1260"/>
        </w:tabs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黑体" w:hAnsi="黑体" w:eastAsia="黑体" w:cs="黑体"/>
          <w:bCs/>
          <w:kern w:val="0"/>
          <w:sz w:val="24"/>
          <w:szCs w:val="24"/>
        </w:rPr>
      </w:pPr>
      <w:r>
        <w:rPr>
          <w:rFonts w:hint="eastAsia" w:ascii="黑体" w:hAnsi="黑体" w:eastAsia="黑体" w:cs="黑体"/>
          <w:bCs/>
          <w:kern w:val="0"/>
          <w:sz w:val="24"/>
          <w:szCs w:val="24"/>
        </w:rPr>
        <w:t>3.拍摄与处理阶段：深入探讨航拍的构图原理、拍摄角度选择以及数据处理技术，培养学生对航拍项目的全面理解和实际操作能力。</w:t>
      </w:r>
    </w:p>
    <w:p w14:paraId="79F6AD22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四、课程内容</w:t>
      </w:r>
    </w:p>
    <w:tbl>
      <w:tblPr>
        <w:tblStyle w:val="8"/>
        <w:tblW w:w="8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8"/>
        <w:gridCol w:w="1467"/>
      </w:tblGrid>
      <w:tr w14:paraId="3F53F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51C50B01">
            <w:pPr>
              <w:pStyle w:val="6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了解数据库的基本概念；认识数据模型和关系数据库；认识实体和属性；绘制E-R图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；</w:t>
            </w:r>
          </w:p>
        </w:tc>
        <w:tc>
          <w:tcPr>
            <w:tcW w:w="1467" w:type="dxa"/>
            <w:vAlign w:val="top"/>
          </w:tcPr>
          <w:p w14:paraId="2267DAFE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6325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5917177F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建立数据库概念模型；将E-R图转换成关系模式进行数据模型的建立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MySQL的下载及安装</w:t>
            </w:r>
          </w:p>
        </w:tc>
        <w:tc>
          <w:tcPr>
            <w:tcW w:w="1467" w:type="dxa"/>
            <w:vAlign w:val="top"/>
          </w:tcPr>
          <w:p w14:paraId="2BD4A95F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2E9E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6F4CBDE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对MySQL数据库进行环境配置；本地连接、远程连接MySQL；修改默认字符集；</w:t>
            </w:r>
          </w:p>
        </w:tc>
        <w:tc>
          <w:tcPr>
            <w:tcW w:w="1467" w:type="dxa"/>
            <w:vAlign w:val="top"/>
          </w:tcPr>
          <w:p w14:paraId="15ABF6D8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4777F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0AF9A53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使用命令行方式创建数据库和表</w:t>
            </w:r>
          </w:p>
        </w:tc>
        <w:tc>
          <w:tcPr>
            <w:tcW w:w="1467" w:type="dxa"/>
            <w:vAlign w:val="top"/>
          </w:tcPr>
          <w:p w14:paraId="61633F3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05D8B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14E417A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表数据操作</w:t>
            </w:r>
          </w:p>
          <w:p w14:paraId="03B6B379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467" w:type="dxa"/>
            <w:vAlign w:val="top"/>
          </w:tcPr>
          <w:p w14:paraId="1AFC378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了解</w:t>
            </w:r>
          </w:p>
        </w:tc>
      </w:tr>
      <w:tr w14:paraId="689B90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7043C6F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创建和管理索引</w:t>
            </w:r>
          </w:p>
          <w:p w14:paraId="54C93B64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索引的设计原则</w:t>
            </w:r>
          </w:p>
          <w:p w14:paraId="1F69D942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创建表时创建索引</w:t>
            </w:r>
          </w:p>
          <w:p w14:paraId="23EBA4EB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用CREATE INDEX语句创建索引</w:t>
            </w:r>
          </w:p>
          <w:p w14:paraId="575D435B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467" w:type="dxa"/>
            <w:vAlign w:val="top"/>
          </w:tcPr>
          <w:p w14:paraId="5B1E8D7F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理解</w:t>
            </w:r>
          </w:p>
        </w:tc>
      </w:tr>
      <w:tr w14:paraId="63EEAB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BC2C271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数据约束和参照完整性</w:t>
            </w:r>
          </w:p>
        </w:tc>
        <w:tc>
          <w:tcPr>
            <w:tcW w:w="1467" w:type="dxa"/>
            <w:vAlign w:val="top"/>
          </w:tcPr>
          <w:p w14:paraId="26F0F5C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理解</w:t>
            </w:r>
          </w:p>
        </w:tc>
      </w:tr>
      <w:tr w14:paraId="2468B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A95E327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了解SELECT语法结构</w:t>
            </w:r>
          </w:p>
          <w:p w14:paraId="3D20B05F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认识基本子句</w:t>
            </w:r>
          </w:p>
          <w:p w14:paraId="1D0F973E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467" w:type="dxa"/>
            <w:vAlign w:val="top"/>
          </w:tcPr>
          <w:p w14:paraId="6120145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AF61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CCD865C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认识基本子句</w:t>
            </w:r>
          </w:p>
          <w:p w14:paraId="18567117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使用聚合函数进行统计查询</w:t>
            </w:r>
          </w:p>
          <w:p w14:paraId="7290A10E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多表连接查询</w:t>
            </w:r>
          </w:p>
          <w:p w14:paraId="1B1E717A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467" w:type="dxa"/>
            <w:vAlign w:val="top"/>
          </w:tcPr>
          <w:p w14:paraId="76C5CA2F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06CCC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8FED941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多表连接查询</w:t>
            </w:r>
          </w:p>
          <w:p w14:paraId="1D6F78D7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嵌套查询</w:t>
            </w:r>
          </w:p>
          <w:p w14:paraId="4B930304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联合查询</w:t>
            </w:r>
          </w:p>
          <w:p w14:paraId="74D20B33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467" w:type="dxa"/>
            <w:vAlign w:val="top"/>
          </w:tcPr>
          <w:p w14:paraId="02F31F9E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0496D0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759EA88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MySQL运算符和函数</w:t>
            </w:r>
          </w:p>
          <w:p w14:paraId="44251DA5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认识和使用运算符</w:t>
            </w:r>
          </w:p>
          <w:p w14:paraId="257BFAC6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认识和使用常用函数</w:t>
            </w:r>
          </w:p>
          <w:p w14:paraId="6B44DD48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467" w:type="dxa"/>
            <w:vAlign w:val="top"/>
          </w:tcPr>
          <w:p w14:paraId="5E539A7F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68D2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2B7E736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MySQL运算符和函数</w:t>
            </w:r>
          </w:p>
          <w:p w14:paraId="07002382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认识和使用常用函数</w:t>
            </w:r>
          </w:p>
          <w:p w14:paraId="54F24C6D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467" w:type="dxa"/>
            <w:vAlign w:val="top"/>
          </w:tcPr>
          <w:p w14:paraId="562E06E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3A8A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95BDE4B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MySQL运算符和函数</w:t>
            </w:r>
          </w:p>
          <w:p w14:paraId="6271A6E1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使用 JSON 函数</w:t>
            </w:r>
          </w:p>
          <w:p w14:paraId="1DC51D54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使用窗口函数</w:t>
            </w:r>
          </w:p>
        </w:tc>
        <w:tc>
          <w:tcPr>
            <w:tcW w:w="1467" w:type="dxa"/>
            <w:vAlign w:val="top"/>
          </w:tcPr>
          <w:p w14:paraId="75ACE234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5D9F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D24D7F5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视图的创建和使用</w:t>
            </w:r>
          </w:p>
        </w:tc>
        <w:tc>
          <w:tcPr>
            <w:tcW w:w="1467" w:type="dxa"/>
            <w:vAlign w:val="top"/>
          </w:tcPr>
          <w:p w14:paraId="4C0690F4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0F6A9C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55E0D47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五一放假</w:t>
            </w:r>
          </w:p>
        </w:tc>
        <w:tc>
          <w:tcPr>
            <w:tcW w:w="1467" w:type="dxa"/>
            <w:vAlign w:val="top"/>
          </w:tcPr>
          <w:p w14:paraId="007D4E14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7910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8CD2F17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存储过程的声明及使用</w:t>
            </w:r>
          </w:p>
        </w:tc>
        <w:tc>
          <w:tcPr>
            <w:tcW w:w="1467" w:type="dxa"/>
            <w:vAlign w:val="top"/>
          </w:tcPr>
          <w:p w14:paraId="7240E65D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8C99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2014657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创建带有流程控制语句的存储过程</w:t>
            </w:r>
          </w:p>
          <w:p w14:paraId="1CB93B1A">
            <w:pPr>
              <w:jc w:val="center"/>
              <w:rPr>
                <w:rFonts w:hint="eastAsia" w:ascii="黑体" w:hAnsi="黑体" w:eastAsia="黑体" w:cs="黑体"/>
                <w:color w:val="FF0000"/>
                <w:sz w:val="24"/>
                <w:szCs w:val="24"/>
              </w:rPr>
            </w:pPr>
          </w:p>
        </w:tc>
        <w:tc>
          <w:tcPr>
            <w:tcW w:w="1467" w:type="dxa"/>
            <w:vAlign w:val="top"/>
          </w:tcPr>
          <w:p w14:paraId="39994503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7C9213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01FBE30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建立和使用存储函数</w:t>
            </w:r>
          </w:p>
        </w:tc>
        <w:tc>
          <w:tcPr>
            <w:tcW w:w="1467" w:type="dxa"/>
            <w:vAlign w:val="top"/>
          </w:tcPr>
          <w:p w14:paraId="7A67BD45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69E86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2070A57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建立和使用触发器</w:t>
            </w:r>
          </w:p>
        </w:tc>
        <w:tc>
          <w:tcPr>
            <w:tcW w:w="1467" w:type="dxa"/>
            <w:vAlign w:val="top"/>
          </w:tcPr>
          <w:p w14:paraId="1F37FB64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51C0A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02B8BDD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建立和使用事件</w:t>
            </w:r>
          </w:p>
        </w:tc>
        <w:tc>
          <w:tcPr>
            <w:tcW w:w="1467" w:type="dxa"/>
            <w:vAlign w:val="top"/>
          </w:tcPr>
          <w:p w14:paraId="6E6EC42B">
            <w:pPr>
              <w:spacing w:line="360" w:lineRule="auto"/>
              <w:jc w:val="both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7AA93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ED41157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学校单招监考</w:t>
            </w:r>
          </w:p>
        </w:tc>
        <w:tc>
          <w:tcPr>
            <w:tcW w:w="1467" w:type="dxa"/>
            <w:vAlign w:val="top"/>
          </w:tcPr>
          <w:p w14:paraId="11E42F47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4CE9B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AFEED43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用户和权限</w:t>
            </w:r>
          </w:p>
        </w:tc>
        <w:tc>
          <w:tcPr>
            <w:tcW w:w="1467" w:type="dxa"/>
            <w:vAlign w:val="top"/>
          </w:tcPr>
          <w:p w14:paraId="77B91F18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47CE31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2EB6E131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数据库备份和恢复</w:t>
            </w:r>
          </w:p>
        </w:tc>
        <w:tc>
          <w:tcPr>
            <w:tcW w:w="1467" w:type="dxa"/>
            <w:vAlign w:val="top"/>
          </w:tcPr>
          <w:p w14:paraId="34700081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488E0F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30144654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数据库性能优化</w:t>
            </w:r>
          </w:p>
        </w:tc>
        <w:tc>
          <w:tcPr>
            <w:tcW w:w="1467" w:type="dxa"/>
            <w:vAlign w:val="top"/>
          </w:tcPr>
          <w:p w14:paraId="670DBF5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243A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586E8218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数据库性能优化</w:t>
            </w:r>
          </w:p>
        </w:tc>
        <w:tc>
          <w:tcPr>
            <w:tcW w:w="1467" w:type="dxa"/>
            <w:vAlign w:val="top"/>
          </w:tcPr>
          <w:p w14:paraId="7C0F3190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495D2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E44C7F9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期末复习</w:t>
            </w:r>
          </w:p>
        </w:tc>
        <w:tc>
          <w:tcPr>
            <w:tcW w:w="1467" w:type="dxa"/>
            <w:vAlign w:val="top"/>
          </w:tcPr>
          <w:p w14:paraId="0E6245B5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</w:tbl>
    <w:p w14:paraId="510B14E9">
      <w:pPr>
        <w:pStyle w:val="7"/>
        <w:spacing w:before="0" w:beforeAutospacing="0" w:after="0" w:afterAutospacing="0" w:line="360" w:lineRule="auto"/>
        <w:rPr>
          <w:rFonts w:hint="eastAsia" w:ascii="黑体" w:hAnsi="黑体" w:eastAsia="黑体"/>
        </w:rPr>
      </w:pPr>
    </w:p>
    <w:p w14:paraId="7ACA1B54">
      <w:pPr>
        <w:pStyle w:val="7"/>
        <w:spacing w:before="0" w:beforeAutospacing="0" w:after="0" w:afterAutospacing="0" w:line="360" w:lineRule="auto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五、各教学环节学时分配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6"/>
        <w:gridCol w:w="2016"/>
        <w:gridCol w:w="2016"/>
        <w:gridCol w:w="1870"/>
      </w:tblGrid>
      <w:tr w14:paraId="4534F7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C8F043">
            <w:pPr>
              <w:pStyle w:val="7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章节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FCA30E">
            <w:pPr>
              <w:pStyle w:val="7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理论课   </w:t>
            </w:r>
          </w:p>
          <w:p w14:paraId="64EF2ABF">
            <w:pPr>
              <w:pStyle w:val="7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E76385">
            <w:pPr>
              <w:pStyle w:val="7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实践课   </w:t>
            </w:r>
          </w:p>
          <w:p w14:paraId="79BD8262">
            <w:pPr>
              <w:pStyle w:val="7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647F18">
            <w:pPr>
              <w:pStyle w:val="7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小计</w:t>
            </w:r>
          </w:p>
        </w:tc>
      </w:tr>
      <w:tr w14:paraId="10AB9E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ED8381">
            <w:pPr>
              <w:pStyle w:val="7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第一章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68F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351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CE0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2B9DC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058F5A">
            <w:pPr>
              <w:pStyle w:val="7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第二章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89E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3ED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525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29F86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3766AF">
            <w:pPr>
              <w:pStyle w:val="7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第三章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B58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2BB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6F9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66792E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810BB9">
            <w:pPr>
              <w:pStyle w:val="7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第四章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EF3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6FA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433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</w:tr>
      <w:tr w14:paraId="0AACF9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548FAB">
            <w:pPr>
              <w:pStyle w:val="7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第五章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53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441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75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3B615A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B15B1D">
            <w:pPr>
              <w:pStyle w:val="7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第六章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251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EB5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64B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6A910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517534">
            <w:pPr>
              <w:pStyle w:val="7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第七章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D84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F8C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073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</w:tr>
      <w:tr w14:paraId="2D31F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A724BC">
            <w:pPr>
              <w:pStyle w:val="7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总计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C3D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8AF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64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6B4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</w:tr>
    </w:tbl>
    <w:p w14:paraId="54CCF35C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六、考核方式与成绩评定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907"/>
        <w:gridCol w:w="3960"/>
      </w:tblGrid>
      <w:tr w14:paraId="31865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5F7CC7F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考核类型</w:t>
            </w:r>
          </w:p>
        </w:tc>
        <w:tc>
          <w:tcPr>
            <w:tcW w:w="2907" w:type="dxa"/>
          </w:tcPr>
          <w:p w14:paraId="044A99FD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考核方式</w:t>
            </w:r>
          </w:p>
        </w:tc>
        <w:tc>
          <w:tcPr>
            <w:tcW w:w="3960" w:type="dxa"/>
          </w:tcPr>
          <w:p w14:paraId="61E074F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成绩构成</w:t>
            </w:r>
          </w:p>
        </w:tc>
      </w:tr>
      <w:tr w14:paraId="6A387B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043F952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考查</w:t>
            </w:r>
          </w:p>
        </w:tc>
        <w:tc>
          <w:tcPr>
            <w:tcW w:w="2907" w:type="dxa"/>
          </w:tcPr>
          <w:p w14:paraId="00682473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</w:t>
            </w:r>
          </w:p>
        </w:tc>
        <w:tc>
          <w:tcPr>
            <w:tcW w:w="3960" w:type="dxa"/>
          </w:tcPr>
          <w:p w14:paraId="66095CC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上机60%+平时成绩40%</w:t>
            </w:r>
          </w:p>
        </w:tc>
      </w:tr>
    </w:tbl>
    <w:p w14:paraId="43E6ADDB">
      <w:pPr>
        <w:spacing w:line="360" w:lineRule="auto"/>
        <w:rPr>
          <w:rFonts w:ascii="黑体" w:hAnsi="黑体" w:eastAsia="黑体" w:cs="微软雅黑"/>
        </w:rPr>
      </w:pPr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93B1A6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7F5B3F4">
    <w:pPr>
      <w:pStyle w:val="5"/>
    </w:pPr>
  </w:p>
  <w:p w14:paraId="3FE6039D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9977CD"/>
    <w:multiLevelType w:val="multilevel"/>
    <w:tmpl w:val="779977CD"/>
    <w:lvl w:ilvl="0" w:tentative="0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2F7B6D"/>
    <w:rsid w:val="003427FF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749A5"/>
    <w:rsid w:val="007D6E18"/>
    <w:rsid w:val="0083696D"/>
    <w:rsid w:val="008F18F3"/>
    <w:rsid w:val="0091126C"/>
    <w:rsid w:val="00933224"/>
    <w:rsid w:val="00A10BD1"/>
    <w:rsid w:val="00A61D91"/>
    <w:rsid w:val="00A9462C"/>
    <w:rsid w:val="00BE1402"/>
    <w:rsid w:val="00C30694"/>
    <w:rsid w:val="00CE5A75"/>
    <w:rsid w:val="00D904E1"/>
    <w:rsid w:val="00DA13A3"/>
    <w:rsid w:val="00E06ACF"/>
    <w:rsid w:val="00E36710"/>
    <w:rsid w:val="00EA5ACD"/>
    <w:rsid w:val="00ED0E5C"/>
    <w:rsid w:val="00F82539"/>
    <w:rsid w:val="00FE5BC5"/>
    <w:rsid w:val="0CB67574"/>
    <w:rsid w:val="10A5002C"/>
    <w:rsid w:val="11953442"/>
    <w:rsid w:val="16E00770"/>
    <w:rsid w:val="17100C34"/>
    <w:rsid w:val="1C2509AA"/>
    <w:rsid w:val="1CA67264"/>
    <w:rsid w:val="207045CB"/>
    <w:rsid w:val="24B15132"/>
    <w:rsid w:val="2B280569"/>
    <w:rsid w:val="302C79CA"/>
    <w:rsid w:val="386046B4"/>
    <w:rsid w:val="52E144DC"/>
    <w:rsid w:val="52F71A4E"/>
    <w:rsid w:val="58D52DA9"/>
    <w:rsid w:val="590E5443"/>
    <w:rsid w:val="5C7761CB"/>
    <w:rsid w:val="5CE165EC"/>
    <w:rsid w:val="5F264AAD"/>
    <w:rsid w:val="62F37800"/>
    <w:rsid w:val="692A7707"/>
    <w:rsid w:val="760360A4"/>
    <w:rsid w:val="7A361837"/>
    <w:rsid w:val="7C87081E"/>
    <w:rsid w:val="7DEC4FAE"/>
    <w:rsid w:val="7EC9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toc 1"/>
    <w:basedOn w:val="1"/>
    <w:next w:val="1"/>
    <w:semiHidden/>
    <w:qFormat/>
    <w:uiPriority w:val="0"/>
    <w:rPr>
      <w:rFonts w:eastAsia="华文仿宋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qFormat/>
    <w:uiPriority w:val="0"/>
    <w:rPr>
      <w:b/>
    </w:rPr>
  </w:style>
  <w:style w:type="character" w:customStyle="1" w:styleId="12">
    <w:name w:val="正文文本 字符"/>
    <w:basedOn w:val="10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3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4">
    <w:name w:val="标题 1 字符"/>
    <w:basedOn w:val="10"/>
    <w:link w:val="2"/>
    <w:qFormat/>
    <w:uiPriority w:val="0"/>
    <w:rPr>
      <w:rFonts w:ascii="宋体" w:hAnsi="宋体" w:eastAsia="宋体" w:cs="Times New Roman"/>
      <w:b/>
      <w:kern w:val="44"/>
      <w:sz w:val="48"/>
      <w:szCs w:val="48"/>
    </w:rPr>
  </w:style>
  <w:style w:type="paragraph" w:styleId="15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1565</Words>
  <Characters>1674</Characters>
  <Lines>12</Lines>
  <Paragraphs>3</Paragraphs>
  <TotalTime>1</TotalTime>
  <ScaleCrop>false</ScaleCrop>
  <LinksUpToDate>false</LinksUpToDate>
  <CharactersWithSpaces>1795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2024-09-18T08:14:46Z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F999BE62F24D4126AD6952A228CD7337</vt:lpwstr>
  </property>
</Properties>
</file>