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927D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 吉林水利电力职业学院课程标准提纲</w:t>
      </w:r>
    </w:p>
    <w:p w14:paraId="6D8FAF03">
      <w:pPr>
        <w:spacing w:before="312" w:beforeLines="100" w:after="468" w:afterLines="150"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《融媒体制作发布实训》课程标准</w:t>
      </w:r>
    </w:p>
    <w:tbl>
      <w:tblPr>
        <w:tblStyle w:val="4"/>
        <w:tblW w:w="5000" w:type="pct"/>
        <w:jc w:val="center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27"/>
        <w:gridCol w:w="3208"/>
        <w:gridCol w:w="20"/>
        <w:gridCol w:w="1310"/>
        <w:gridCol w:w="2921"/>
      </w:tblGrid>
      <w:tr w14:paraId="6C09B67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940" w:type="pct"/>
            <w:noWrap w:val="0"/>
            <w:tcMar>
              <w:left w:w="57" w:type="dxa"/>
              <w:right w:w="57" w:type="dxa"/>
            </w:tcMar>
            <w:vAlign w:val="center"/>
          </w:tcPr>
          <w:p w14:paraId="3748FC3A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课程代码</w:t>
            </w:r>
          </w:p>
        </w:tc>
        <w:tc>
          <w:tcPr>
            <w:tcW w:w="1757" w:type="pct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03B4E32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1508404</w:t>
            </w:r>
          </w:p>
        </w:tc>
        <w:tc>
          <w:tcPr>
            <w:tcW w:w="713" w:type="pct"/>
            <w:noWrap w:val="0"/>
            <w:tcMar>
              <w:left w:w="57" w:type="dxa"/>
              <w:right w:w="57" w:type="dxa"/>
            </w:tcMar>
            <w:vAlign w:val="center"/>
          </w:tcPr>
          <w:p w14:paraId="504C2EC6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课程类别</w:t>
            </w:r>
          </w:p>
        </w:tc>
        <w:tc>
          <w:tcPr>
            <w:tcW w:w="1589" w:type="pct"/>
            <w:noWrap w:val="0"/>
            <w:tcMar>
              <w:left w:w="57" w:type="dxa"/>
              <w:right w:w="57" w:type="dxa"/>
            </w:tcMar>
            <w:vAlign w:val="center"/>
          </w:tcPr>
          <w:p w14:paraId="75AF16B0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综合实践素质拓展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课程</w:t>
            </w:r>
          </w:p>
        </w:tc>
      </w:tr>
      <w:tr w14:paraId="3FC14EA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940" w:type="pct"/>
            <w:noWrap w:val="0"/>
            <w:tcMar>
              <w:left w:w="57" w:type="dxa"/>
              <w:right w:w="57" w:type="dxa"/>
            </w:tcMar>
            <w:vAlign w:val="center"/>
          </w:tcPr>
          <w:p w14:paraId="4AB1B3C6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课程类型</w:t>
            </w:r>
          </w:p>
        </w:tc>
        <w:tc>
          <w:tcPr>
            <w:tcW w:w="1757" w:type="pct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5D55975E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理论+实践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kern w:val="0"/>
                <w:szCs w:val="21"/>
              </w:rPr>
              <w:t>课程</w:t>
            </w:r>
          </w:p>
        </w:tc>
        <w:tc>
          <w:tcPr>
            <w:tcW w:w="713" w:type="pct"/>
            <w:noWrap w:val="0"/>
            <w:tcMar>
              <w:left w:w="57" w:type="dxa"/>
              <w:right w:w="57" w:type="dxa"/>
            </w:tcMar>
            <w:vAlign w:val="center"/>
          </w:tcPr>
          <w:p w14:paraId="7609CDF9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课程性质</w:t>
            </w:r>
          </w:p>
        </w:tc>
        <w:tc>
          <w:tcPr>
            <w:tcW w:w="1589" w:type="pct"/>
            <w:noWrap w:val="0"/>
            <w:tcMar>
              <w:left w:w="57" w:type="dxa"/>
              <w:right w:w="57" w:type="dxa"/>
            </w:tcMar>
            <w:vAlign w:val="center"/>
          </w:tcPr>
          <w:p w14:paraId="51446EA6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综合实践素质拓展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课程</w:t>
            </w:r>
          </w:p>
        </w:tc>
      </w:tr>
      <w:tr w14:paraId="28FEF9F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940" w:type="pct"/>
            <w:noWrap w:val="0"/>
            <w:tcMar>
              <w:left w:w="57" w:type="dxa"/>
              <w:right w:w="57" w:type="dxa"/>
            </w:tcMar>
            <w:vAlign w:val="center"/>
          </w:tcPr>
          <w:p w14:paraId="37E24AF6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课程学分</w:t>
            </w:r>
          </w:p>
        </w:tc>
        <w:tc>
          <w:tcPr>
            <w:tcW w:w="1757" w:type="pct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14D4C575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学分</w:t>
            </w:r>
          </w:p>
        </w:tc>
        <w:tc>
          <w:tcPr>
            <w:tcW w:w="713" w:type="pct"/>
            <w:noWrap w:val="0"/>
            <w:tcMar>
              <w:left w:w="57" w:type="dxa"/>
              <w:right w:w="57" w:type="dxa"/>
            </w:tcMar>
            <w:vAlign w:val="center"/>
          </w:tcPr>
          <w:p w14:paraId="14746267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课程学时</w:t>
            </w:r>
          </w:p>
        </w:tc>
        <w:tc>
          <w:tcPr>
            <w:tcW w:w="1589" w:type="pct"/>
            <w:noWrap w:val="0"/>
            <w:tcMar>
              <w:left w:w="57" w:type="dxa"/>
              <w:right w:w="57" w:type="dxa"/>
            </w:tcMar>
            <w:vAlign w:val="center"/>
          </w:tcPr>
          <w:p w14:paraId="17D40186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40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学时</w:t>
            </w:r>
          </w:p>
        </w:tc>
      </w:tr>
      <w:tr w14:paraId="7992D93D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940" w:type="pct"/>
            <w:noWrap w:val="0"/>
            <w:tcMar>
              <w:left w:w="57" w:type="dxa"/>
              <w:right w:w="57" w:type="dxa"/>
            </w:tcMar>
            <w:vAlign w:val="center"/>
          </w:tcPr>
          <w:p w14:paraId="6EC40217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修读学期</w:t>
            </w:r>
          </w:p>
        </w:tc>
        <w:tc>
          <w:tcPr>
            <w:tcW w:w="1757" w:type="pct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41639F49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第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学</w:t>
            </w: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713" w:type="pct"/>
            <w:noWrap w:val="0"/>
            <w:tcMar>
              <w:left w:w="57" w:type="dxa"/>
              <w:right w:w="57" w:type="dxa"/>
            </w:tcMar>
            <w:vAlign w:val="center"/>
          </w:tcPr>
          <w:p w14:paraId="573D5AC8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适用专业</w:t>
            </w:r>
          </w:p>
        </w:tc>
        <w:tc>
          <w:tcPr>
            <w:tcW w:w="1589" w:type="pct"/>
            <w:noWrap w:val="0"/>
            <w:tcMar>
              <w:left w:w="57" w:type="dxa"/>
              <w:right w:w="57" w:type="dxa"/>
            </w:tcMar>
            <w:vAlign w:val="center"/>
          </w:tcPr>
          <w:p w14:paraId="18BADA0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数字媒体技术</w:t>
            </w:r>
          </w:p>
        </w:tc>
      </w:tr>
      <w:tr w14:paraId="3DB93FCE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940" w:type="pct"/>
            <w:noWrap w:val="0"/>
            <w:tcMar>
              <w:left w:w="57" w:type="dxa"/>
              <w:right w:w="57" w:type="dxa"/>
            </w:tcMar>
            <w:vAlign w:val="center"/>
          </w:tcPr>
          <w:p w14:paraId="17B17F66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合作开发企业</w:t>
            </w:r>
          </w:p>
        </w:tc>
        <w:tc>
          <w:tcPr>
            <w:tcW w:w="4059" w:type="pct"/>
            <w:gridSpan w:val="4"/>
            <w:noWrap w:val="0"/>
            <w:tcMar>
              <w:left w:w="57" w:type="dxa"/>
              <w:right w:w="57" w:type="dxa"/>
            </w:tcMar>
            <w:vAlign w:val="center"/>
          </w:tcPr>
          <w:p w14:paraId="68DA8BBB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0"/>
                <w:szCs w:val="21"/>
              </w:rPr>
            </w:pPr>
          </w:p>
        </w:tc>
      </w:tr>
      <w:tr w14:paraId="5404765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940" w:type="pct"/>
            <w:noWrap w:val="0"/>
            <w:tcMar>
              <w:left w:w="57" w:type="dxa"/>
              <w:right w:w="57" w:type="dxa"/>
            </w:tcMar>
            <w:vAlign w:val="center"/>
          </w:tcPr>
          <w:p w14:paraId="1E2364C4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执笔人</w:t>
            </w:r>
          </w:p>
        </w:tc>
        <w:tc>
          <w:tcPr>
            <w:tcW w:w="1746" w:type="pct"/>
            <w:noWrap w:val="0"/>
            <w:tcMar>
              <w:left w:w="57" w:type="dxa"/>
              <w:right w:w="57" w:type="dxa"/>
            </w:tcMar>
            <w:vAlign w:val="center"/>
          </w:tcPr>
          <w:p w14:paraId="6B4BCDFB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0"/>
                <w:szCs w:val="21"/>
              </w:rPr>
            </w:pPr>
          </w:p>
        </w:tc>
        <w:tc>
          <w:tcPr>
            <w:tcW w:w="723" w:type="pct"/>
            <w:gridSpan w:val="2"/>
            <w:noWrap w:val="0"/>
            <w:tcMar>
              <w:left w:w="57" w:type="dxa"/>
              <w:right w:w="57" w:type="dxa"/>
            </w:tcMar>
            <w:vAlign w:val="center"/>
          </w:tcPr>
          <w:p w14:paraId="248D5E57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审核人</w:t>
            </w:r>
          </w:p>
        </w:tc>
        <w:tc>
          <w:tcPr>
            <w:tcW w:w="1589" w:type="pct"/>
            <w:noWrap w:val="0"/>
            <w:tcMar>
              <w:left w:w="57" w:type="dxa"/>
              <w:right w:w="57" w:type="dxa"/>
            </w:tcMar>
            <w:vAlign w:val="center"/>
          </w:tcPr>
          <w:p w14:paraId="359DB237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 w:val="0"/>
                <w:kern w:val="0"/>
                <w:szCs w:val="21"/>
              </w:rPr>
            </w:pPr>
          </w:p>
        </w:tc>
      </w:tr>
    </w:tbl>
    <w:p w14:paraId="43082B26">
      <w:pPr>
        <w:spacing w:line="360" w:lineRule="auto"/>
        <w:ind w:firstLine="482" w:firstLineChars="200"/>
        <w:rPr>
          <w:rFonts w:ascii="仿宋_GB2312" w:eastAsia="仿宋_GB2312"/>
          <w:b/>
          <w:sz w:val="24"/>
        </w:rPr>
      </w:pPr>
    </w:p>
    <w:p w14:paraId="626AB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1．课程定位与设计思路</w:t>
      </w:r>
    </w:p>
    <w:p w14:paraId="72C32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1．1课程定位</w:t>
      </w:r>
    </w:p>
    <w:p w14:paraId="5AE1F64C">
      <w:pPr>
        <w:widowControl/>
        <w:tabs>
          <w:tab w:val="left" w:pos="1260"/>
        </w:tabs>
        <w:spacing w:line="360" w:lineRule="auto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本课程是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数字媒体设计</w:t>
      </w:r>
      <w:r>
        <w:rPr>
          <w:rFonts w:hint="eastAsia" w:ascii="仿宋" w:hAnsi="仿宋" w:eastAsia="仿宋" w:cs="仿宋"/>
          <w:bCs/>
          <w:kern w:val="0"/>
          <w:sz w:val="24"/>
        </w:rPr>
        <w:t>专业核心课程，专业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综合实践素质拓展</w:t>
      </w:r>
      <w:r>
        <w:rPr>
          <w:rFonts w:hint="eastAsia" w:ascii="仿宋" w:hAnsi="仿宋" w:eastAsia="仿宋" w:cs="仿宋"/>
          <w:bCs/>
          <w:kern w:val="0"/>
          <w:sz w:val="24"/>
        </w:rPr>
        <w:t>课程。其功能是通过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实训</w:t>
      </w:r>
      <w:r>
        <w:rPr>
          <w:rFonts w:hint="eastAsia" w:ascii="仿宋" w:hAnsi="仿宋" w:eastAsia="仿宋" w:cs="仿宋"/>
          <w:bCs/>
          <w:kern w:val="0"/>
          <w:sz w:val="24"/>
        </w:rPr>
        <w:t>方式、采取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项目实训</w:t>
      </w:r>
      <w:r>
        <w:rPr>
          <w:rFonts w:hint="eastAsia" w:ascii="仿宋" w:hAnsi="仿宋" w:eastAsia="仿宋" w:cs="仿宋"/>
          <w:bCs/>
          <w:kern w:val="0"/>
          <w:sz w:val="24"/>
        </w:rPr>
        <w:t>方法培养学生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技术实操</w:t>
      </w:r>
      <w:r>
        <w:rPr>
          <w:rFonts w:hint="eastAsia" w:ascii="仿宋" w:hAnsi="仿宋" w:eastAsia="仿宋" w:cs="仿宋"/>
          <w:bCs/>
          <w:kern w:val="0"/>
          <w:sz w:val="24"/>
        </w:rPr>
        <w:t>能力、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职业素养</w:t>
      </w:r>
      <w:r>
        <w:rPr>
          <w:rFonts w:hint="eastAsia" w:ascii="仿宋" w:hAnsi="仿宋" w:eastAsia="仿宋" w:cs="仿宋"/>
          <w:bCs/>
          <w:kern w:val="0"/>
          <w:sz w:val="24"/>
        </w:rPr>
        <w:t>能力、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项目完成</w:t>
      </w:r>
      <w:r>
        <w:rPr>
          <w:rFonts w:hint="eastAsia" w:ascii="仿宋" w:hAnsi="仿宋" w:eastAsia="仿宋" w:cs="仿宋"/>
          <w:bCs/>
          <w:kern w:val="0"/>
          <w:sz w:val="24"/>
        </w:rPr>
        <w:t>能力。本课程与前修课程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影视剪辑</w:t>
      </w:r>
      <w:r>
        <w:rPr>
          <w:rFonts w:hint="eastAsia" w:ascii="仿宋" w:hAnsi="仿宋" w:eastAsia="仿宋" w:cs="仿宋"/>
          <w:bCs/>
          <w:kern w:val="0"/>
          <w:sz w:val="24"/>
        </w:rPr>
        <w:t>课程相衔接，共同培养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职业技能型人才</w:t>
      </w:r>
      <w:r>
        <w:rPr>
          <w:rFonts w:hint="eastAsia" w:ascii="仿宋" w:hAnsi="仿宋" w:eastAsia="仿宋" w:cs="仿宋"/>
          <w:bCs/>
          <w:kern w:val="0"/>
          <w:sz w:val="24"/>
        </w:rPr>
        <w:t>；与后续课程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项目实训</w:t>
      </w:r>
      <w:r>
        <w:rPr>
          <w:rFonts w:hint="eastAsia" w:ascii="仿宋" w:hAnsi="仿宋" w:eastAsia="仿宋" w:cs="仿宋"/>
          <w:bCs/>
          <w:kern w:val="0"/>
          <w:sz w:val="24"/>
        </w:rPr>
        <w:t>相衔接，共同培养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职业技能型人才</w:t>
      </w:r>
      <w:r>
        <w:rPr>
          <w:rFonts w:hint="eastAsia" w:ascii="仿宋" w:hAnsi="仿宋" w:eastAsia="仿宋" w:cs="仿宋"/>
          <w:bCs/>
          <w:kern w:val="0"/>
          <w:sz w:val="24"/>
        </w:rPr>
        <w:t>。</w:t>
      </w:r>
    </w:p>
    <w:p w14:paraId="6805E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1．2设计思路</w:t>
      </w:r>
    </w:p>
    <w:p w14:paraId="68E03CFF">
      <w:pPr>
        <w:widowControl/>
        <w:tabs>
          <w:tab w:val="left" w:pos="1260"/>
        </w:tabs>
        <w:spacing w:line="360" w:lineRule="auto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黑体" w:hAnsi="黑体" w:eastAsia="黑体" w:cs="黑体"/>
          <w:sz w:val="24"/>
          <w:szCs w:val="24"/>
        </w:rPr>
        <w:t>《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融媒体制作发布实训》这门课程主要讲授融媒体制作发布涉及的制作领域、融媒体制作发布理论基础，融媒体制作发布操作方法，融媒体制作发布流程方法，创作内容与发布平台的关系。《融媒体制作发布实训》通过融媒体</w:t>
      </w:r>
      <w:r>
        <w:rPr>
          <w:rFonts w:hint="eastAsia" w:ascii="仿宋" w:hAnsi="仿宋" w:eastAsia="仿宋" w:cs="仿宋"/>
          <w:bCs/>
          <w:kern w:val="0"/>
          <w:sz w:val="24"/>
        </w:rPr>
        <w:t>工作岗位分析，确定了课程的设计思路为：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《融媒体制作发布实训》的设计思路是以培养学生融媒体制作与发布的综合能力为核心，通过理论结合实践、项目驱动和多元化教学方法，让学生熟悉融媒体流程，掌握相关技能，实现学以致用。</w:t>
      </w:r>
    </w:p>
    <w:p w14:paraId="6E7CACC6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sz w:val="24"/>
        </w:rPr>
        <w:t>本课程的总学时为</w:t>
      </w:r>
      <w:r>
        <w:rPr>
          <w:rFonts w:hint="eastAsia" w:ascii="仿宋" w:hAnsi="仿宋" w:eastAsia="仿宋" w:cs="仿宋"/>
          <w:sz w:val="24"/>
          <w:lang w:val="en-US" w:eastAsia="zh-CN"/>
        </w:rPr>
        <w:t>40</w:t>
      </w:r>
      <w:r>
        <w:rPr>
          <w:rFonts w:hint="eastAsia" w:ascii="仿宋" w:hAnsi="仿宋" w:eastAsia="仿宋" w:cs="仿宋"/>
          <w:sz w:val="24"/>
        </w:rPr>
        <w:t>学时，</w:t>
      </w:r>
      <w:r>
        <w:rPr>
          <w:rFonts w:hint="eastAsia" w:ascii="仿宋" w:hAnsi="仿宋" w:eastAsia="仿宋" w:cs="仿宋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</w:rPr>
        <w:t>学分。</w:t>
      </w:r>
    </w:p>
    <w:p w14:paraId="13BDC9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课程目标</w:t>
      </w:r>
    </w:p>
    <w:p w14:paraId="6A5F55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1. 让学生熟悉融媒体制作与发布的流程和技术。</w:t>
      </w:r>
    </w:p>
    <w:p w14:paraId="736EC9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2. 培养学生运用多种工具进行内容创作的能力。</w:t>
      </w:r>
    </w:p>
    <w:p w14:paraId="6B63AD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3. 提高学生的内容策划、拍摄、编辑和推广能力。</w:t>
      </w:r>
    </w:p>
    <w:p w14:paraId="249802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2．1能力目标</w:t>
      </w:r>
    </w:p>
    <w:p w14:paraId="3D9D4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学生能够深入理解融媒体的概念、特点和发展趋势。</w:t>
      </w:r>
    </w:p>
    <w:p w14:paraId="23964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熟练掌握融媒体内容的策划、拍摄、编辑、发布和推广的流程与技术。</w:t>
      </w:r>
    </w:p>
    <w:p w14:paraId="465D19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学会运用相关软件和工具进行融媒体作品的制作。</w:t>
      </w:r>
    </w:p>
    <w:p w14:paraId="22EAC4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2．2知识目标</w:t>
      </w:r>
    </w:p>
    <w:p w14:paraId="321534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1.通过实践操作和项目实践，培养学生的动手能力和问题解决能力。</w:t>
      </w:r>
    </w:p>
    <w:p w14:paraId="0ABB0A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2.以小组合作的方式，锻炼学生的团队协作和沟通能力。</w:t>
      </w:r>
    </w:p>
    <w:p w14:paraId="361352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3.引导学生通过案例分析和反思总结，提升自主学习和创新能力。</w:t>
      </w:r>
    </w:p>
    <w:p w14:paraId="27CF4E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2．3素质目标</w:t>
      </w:r>
    </w:p>
    <w:p w14:paraId="1BAF10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引导学生树立正确价值观、积极向上人生态度、精益求精的学习态度；培养学生爱专业和行业的兴趣。</w:t>
      </w:r>
    </w:p>
    <w:p w14:paraId="54FF99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激发学生对融媒体制作的兴趣和热情，培养学生的创新意识和审美素养。</w:t>
      </w:r>
    </w:p>
    <w:p w14:paraId="23C90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增强学生对信息传播的责任感和使命感，树立正确的价值观。</w:t>
      </w:r>
    </w:p>
    <w:p w14:paraId="10040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2．4其他目标</w:t>
      </w:r>
    </w:p>
    <w:p w14:paraId="4B2B64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培养观察力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提升专注力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激发创造力和想象力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培养审美素养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提高沟通协作能力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培养自我反思和自我批评的能力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培养对艺术的热爱和追求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 培养社会责任感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。</w:t>
      </w:r>
    </w:p>
    <w:p w14:paraId="52A7ED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3．教学内容</w:t>
      </w:r>
    </w:p>
    <w:p w14:paraId="76B297BC">
      <w:pPr>
        <w:widowControl/>
        <w:tabs>
          <w:tab w:val="left" w:pos="1260"/>
        </w:tabs>
        <w:spacing w:line="360" w:lineRule="auto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在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融媒体制作发布实训</w:t>
      </w:r>
      <w:r>
        <w:rPr>
          <w:rFonts w:hint="eastAsia" w:ascii="仿宋" w:hAnsi="仿宋" w:eastAsia="仿宋" w:cs="仿宋"/>
          <w:bCs/>
          <w:kern w:val="0"/>
          <w:sz w:val="24"/>
        </w:rPr>
        <w:t>课的教学内容选取中，我们始终秉持以培养学生职业能力为重点的理念，并积极开展校企合作共同设计教学内容。</w:t>
      </w:r>
    </w:p>
    <w:p w14:paraId="5AC399A6">
      <w:pPr>
        <w:widowControl/>
        <w:tabs>
          <w:tab w:val="left" w:pos="1260"/>
        </w:tabs>
        <w:spacing w:line="360" w:lineRule="auto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具体内容如下。</w:t>
      </w:r>
    </w:p>
    <w:p w14:paraId="407C87F9">
      <w:pPr>
        <w:keepNext w:val="0"/>
        <w:keepLines w:val="0"/>
        <w:pageBreakBefore w:val="0"/>
        <w:widowControl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firstLine="422" w:firstLineChars="200"/>
        <w:jc w:val="center"/>
        <w:textAlignment w:val="auto"/>
        <w:rPr>
          <w:rFonts w:hint="eastAsia" w:ascii="仿宋" w:hAnsi="仿宋" w:eastAsia="仿宋" w:cs="仿宋"/>
          <w:b/>
          <w:bCs/>
          <w:kern w:val="0"/>
          <w:szCs w:val="21"/>
        </w:rPr>
      </w:pPr>
      <w:r>
        <w:rPr>
          <w:rFonts w:hint="eastAsia" w:ascii="仿宋" w:hAnsi="仿宋" w:eastAsia="仿宋" w:cs="仿宋"/>
          <w:b/>
          <w:bCs/>
          <w:kern w:val="0"/>
          <w:szCs w:val="21"/>
        </w:rPr>
        <w:t>表1 学习情境/项目名称/教学内容</w:t>
      </w:r>
      <w:r>
        <w:rPr>
          <w:rFonts w:hint="eastAsia" w:ascii="仿宋" w:hAnsi="仿宋" w:eastAsia="仿宋" w:cs="仿宋"/>
          <w:b/>
          <w:bCs/>
          <w:color w:val="FF0000"/>
          <w:kern w:val="0"/>
          <w:szCs w:val="21"/>
        </w:rPr>
        <w:t>（三选一）</w:t>
      </w:r>
      <w:r>
        <w:rPr>
          <w:rFonts w:hint="eastAsia" w:ascii="仿宋" w:hAnsi="仿宋" w:eastAsia="仿宋" w:cs="仿宋"/>
          <w:b/>
          <w:bCs/>
          <w:kern w:val="0"/>
          <w:szCs w:val="21"/>
        </w:rPr>
        <w:t>描述</w:t>
      </w:r>
    </w:p>
    <w:tbl>
      <w:tblPr>
        <w:tblStyle w:val="4"/>
        <w:tblW w:w="502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159"/>
        <w:gridCol w:w="1568"/>
        <w:gridCol w:w="1571"/>
        <w:gridCol w:w="1764"/>
        <w:gridCol w:w="780"/>
        <w:gridCol w:w="784"/>
      </w:tblGrid>
      <w:tr w14:paraId="36414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378" w:type="pct"/>
            <w:vMerge w:val="restart"/>
            <w:tcBorders>
              <w:top w:val="single" w:color="auto" w:sz="8" w:space="0"/>
              <w:left w:val="single" w:color="auto" w:sz="8" w:space="0"/>
            </w:tcBorders>
            <w:shd w:val="clear" w:color="auto" w:fill="D9D9D9"/>
            <w:noWrap w:val="0"/>
            <w:vAlign w:val="center"/>
          </w:tcPr>
          <w:p w14:paraId="6D18BB2F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57" w:type="pct"/>
            <w:vMerge w:val="restart"/>
            <w:tcBorders>
              <w:top w:val="single" w:color="auto" w:sz="8" w:space="0"/>
            </w:tcBorders>
            <w:shd w:val="clear" w:color="auto" w:fill="D9D9D9"/>
            <w:noWrap w:val="0"/>
            <w:vAlign w:val="center"/>
          </w:tcPr>
          <w:p w14:paraId="2032F913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学习情境/项目名称/教学内容</w:t>
            </w:r>
            <w:r>
              <w:rPr>
                <w:rFonts w:hint="eastAsia" w:ascii="仿宋" w:hAnsi="仿宋" w:eastAsia="仿宋" w:cs="仿宋"/>
                <w:b/>
                <w:bCs/>
                <w:color w:val="FF0000"/>
                <w:kern w:val="0"/>
                <w:szCs w:val="21"/>
              </w:rPr>
              <w:t>（三选一）</w:t>
            </w:r>
          </w:p>
        </w:tc>
        <w:tc>
          <w:tcPr>
            <w:tcW w:w="840" w:type="pct"/>
            <w:vMerge w:val="restart"/>
            <w:tcBorders>
              <w:top w:val="single" w:color="auto" w:sz="8" w:space="0"/>
            </w:tcBorders>
            <w:shd w:val="clear" w:color="auto" w:fill="D9D9D9"/>
            <w:noWrap w:val="0"/>
            <w:vAlign w:val="center"/>
          </w:tcPr>
          <w:p w14:paraId="0620D13B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技能内容与</w:t>
            </w:r>
          </w:p>
          <w:p w14:paraId="184BAC3C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教学要求</w:t>
            </w:r>
          </w:p>
        </w:tc>
        <w:tc>
          <w:tcPr>
            <w:tcW w:w="842" w:type="pct"/>
            <w:vMerge w:val="restart"/>
            <w:tcBorders>
              <w:top w:val="single" w:color="auto" w:sz="8" w:space="0"/>
            </w:tcBorders>
            <w:shd w:val="clear" w:color="auto" w:fill="D9D9D9"/>
            <w:noWrap w:val="0"/>
            <w:vAlign w:val="center"/>
          </w:tcPr>
          <w:p w14:paraId="6F61A9AE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知识内容与</w:t>
            </w:r>
          </w:p>
          <w:p w14:paraId="03854046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教学要求</w:t>
            </w:r>
          </w:p>
        </w:tc>
        <w:tc>
          <w:tcPr>
            <w:tcW w:w="945" w:type="pct"/>
            <w:vMerge w:val="restart"/>
            <w:tcBorders>
              <w:top w:val="single" w:color="auto" w:sz="8" w:space="0"/>
            </w:tcBorders>
            <w:shd w:val="clear" w:color="auto" w:fill="D9D9D9"/>
            <w:noWrap w:val="0"/>
            <w:vAlign w:val="center"/>
          </w:tcPr>
          <w:p w14:paraId="3C79C3B5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素质内容与</w:t>
            </w:r>
          </w:p>
          <w:p w14:paraId="26AB3EEC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教学要求</w:t>
            </w:r>
          </w:p>
        </w:tc>
        <w:tc>
          <w:tcPr>
            <w:tcW w:w="839" w:type="pct"/>
            <w:gridSpan w:val="2"/>
            <w:tcBorders>
              <w:top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D242B50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学时</w:t>
            </w:r>
          </w:p>
        </w:tc>
      </w:tr>
      <w:tr w14:paraId="4338A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</w:trPr>
        <w:tc>
          <w:tcPr>
            <w:tcW w:w="378" w:type="pct"/>
            <w:vMerge w:val="continue"/>
            <w:tcBorders>
              <w:left w:val="single" w:color="auto" w:sz="8" w:space="0"/>
            </w:tcBorders>
            <w:shd w:val="clear" w:color="auto" w:fill="D9D9D9"/>
            <w:noWrap w:val="0"/>
            <w:vAlign w:val="center"/>
          </w:tcPr>
          <w:p w14:paraId="17299C36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57" w:type="pct"/>
            <w:vMerge w:val="continue"/>
            <w:shd w:val="clear" w:color="auto" w:fill="D9D9D9"/>
            <w:noWrap w:val="0"/>
            <w:vAlign w:val="center"/>
          </w:tcPr>
          <w:p w14:paraId="41060748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840" w:type="pct"/>
            <w:vMerge w:val="continue"/>
            <w:shd w:val="clear" w:color="auto" w:fill="D9D9D9"/>
            <w:noWrap w:val="0"/>
            <w:vAlign w:val="center"/>
          </w:tcPr>
          <w:p w14:paraId="59C299CE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842" w:type="pct"/>
            <w:vMerge w:val="continue"/>
            <w:shd w:val="clear" w:color="auto" w:fill="D9D9D9"/>
            <w:noWrap w:val="0"/>
            <w:vAlign w:val="center"/>
          </w:tcPr>
          <w:p w14:paraId="75FAC428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945" w:type="pct"/>
            <w:vMerge w:val="continue"/>
            <w:shd w:val="clear" w:color="auto" w:fill="D9D9D9"/>
            <w:noWrap w:val="0"/>
            <w:vAlign w:val="center"/>
          </w:tcPr>
          <w:p w14:paraId="08387FA9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418" w:type="pct"/>
            <w:shd w:val="clear" w:color="auto" w:fill="D9D9D9"/>
            <w:noWrap w:val="0"/>
            <w:vAlign w:val="center"/>
          </w:tcPr>
          <w:p w14:paraId="704EE215">
            <w:pPr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理论学时</w:t>
            </w:r>
          </w:p>
        </w:tc>
        <w:tc>
          <w:tcPr>
            <w:tcW w:w="421" w:type="pct"/>
            <w:tcBorders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930C8E8">
            <w:pPr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实践学时</w:t>
            </w:r>
          </w:p>
        </w:tc>
      </w:tr>
      <w:tr w14:paraId="1B414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78" w:type="pct"/>
            <w:tcBorders>
              <w:left w:val="single" w:color="auto" w:sz="8" w:space="0"/>
            </w:tcBorders>
            <w:noWrap w:val="0"/>
            <w:vAlign w:val="center"/>
          </w:tcPr>
          <w:p w14:paraId="53772DCB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1</w:t>
            </w:r>
          </w:p>
        </w:tc>
        <w:tc>
          <w:tcPr>
            <w:tcW w:w="1157" w:type="pct"/>
            <w:noWrap w:val="0"/>
            <w:vAlign w:val="center"/>
          </w:tcPr>
          <w:p w14:paraId="3707F564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融媒体概念与特点</w:t>
            </w:r>
          </w:p>
        </w:tc>
        <w:tc>
          <w:tcPr>
            <w:tcW w:w="840" w:type="pct"/>
            <w:noWrap w:val="0"/>
            <w:vAlign w:val="center"/>
          </w:tcPr>
          <w:p w14:paraId="72C25AD5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FF6600"/>
                <w:kern w:val="0"/>
                <w:szCs w:val="21"/>
              </w:rPr>
            </w:pPr>
          </w:p>
        </w:tc>
        <w:tc>
          <w:tcPr>
            <w:tcW w:w="842" w:type="pct"/>
            <w:noWrap w:val="0"/>
            <w:vAlign w:val="center"/>
          </w:tcPr>
          <w:p w14:paraId="39688C64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介绍融媒体的定义、发展历程和特点。</w:t>
            </w:r>
          </w:p>
          <w:p w14:paraId="45C25E9C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分析融媒体与传统媒体的区别和联系。</w:t>
            </w:r>
          </w:p>
          <w:p w14:paraId="6315BDB2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FF6600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探讨融媒体在当今信息传播中的重要性。</w:t>
            </w:r>
          </w:p>
        </w:tc>
        <w:tc>
          <w:tcPr>
            <w:tcW w:w="945" w:type="pct"/>
            <w:noWrap w:val="0"/>
            <w:vAlign w:val="center"/>
          </w:tcPr>
          <w:p w14:paraId="4301DFE7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</w:p>
        </w:tc>
        <w:tc>
          <w:tcPr>
            <w:tcW w:w="418" w:type="pct"/>
            <w:noWrap w:val="0"/>
            <w:vAlign w:val="center"/>
          </w:tcPr>
          <w:p w14:paraId="7538D1F3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default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421" w:type="pct"/>
            <w:tcBorders>
              <w:right w:val="single" w:color="auto" w:sz="8" w:space="0"/>
            </w:tcBorders>
            <w:noWrap w:val="0"/>
            <w:vAlign w:val="center"/>
          </w:tcPr>
          <w:p w14:paraId="5142A347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default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4</w:t>
            </w:r>
          </w:p>
        </w:tc>
      </w:tr>
      <w:tr w14:paraId="04558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78" w:type="pct"/>
            <w:tcBorders>
              <w:left w:val="single" w:color="auto" w:sz="8" w:space="0"/>
            </w:tcBorders>
            <w:noWrap w:val="0"/>
            <w:vAlign w:val="center"/>
          </w:tcPr>
          <w:p w14:paraId="1C72C45D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2</w:t>
            </w:r>
          </w:p>
        </w:tc>
        <w:tc>
          <w:tcPr>
            <w:tcW w:w="1157" w:type="pct"/>
            <w:noWrap w:val="0"/>
            <w:vAlign w:val="center"/>
          </w:tcPr>
          <w:p w14:paraId="44A3ABFC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融媒体内容策划</w:t>
            </w:r>
          </w:p>
        </w:tc>
        <w:tc>
          <w:tcPr>
            <w:tcW w:w="840" w:type="pct"/>
            <w:noWrap w:val="0"/>
            <w:vAlign w:val="center"/>
          </w:tcPr>
          <w:p w14:paraId="4566E019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</w:p>
        </w:tc>
        <w:tc>
          <w:tcPr>
            <w:tcW w:w="842" w:type="pct"/>
            <w:noWrap w:val="0"/>
            <w:vAlign w:val="center"/>
          </w:tcPr>
          <w:p w14:paraId="73B10C84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讲解融媒体内容策划的原则和方法。</w:t>
            </w:r>
          </w:p>
          <w:p w14:paraId="7D99FEFE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进行案例分析，学习成功的融媒体策划案例。</w:t>
            </w:r>
          </w:p>
          <w:p w14:paraId="4FEFCC85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学生分组进行选题策划，制定初步的内容方案。</w:t>
            </w:r>
          </w:p>
        </w:tc>
        <w:tc>
          <w:tcPr>
            <w:tcW w:w="945" w:type="pct"/>
            <w:noWrap w:val="0"/>
            <w:vAlign w:val="center"/>
          </w:tcPr>
          <w:p w14:paraId="2AE22098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</w:p>
        </w:tc>
        <w:tc>
          <w:tcPr>
            <w:tcW w:w="418" w:type="pct"/>
            <w:noWrap w:val="0"/>
            <w:vAlign w:val="center"/>
          </w:tcPr>
          <w:p w14:paraId="54557E24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421" w:type="pct"/>
            <w:tcBorders>
              <w:right w:val="single" w:color="auto" w:sz="8" w:space="0"/>
            </w:tcBorders>
            <w:noWrap w:val="0"/>
            <w:vAlign w:val="center"/>
          </w:tcPr>
          <w:p w14:paraId="70AB56A8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2</w:t>
            </w:r>
          </w:p>
        </w:tc>
      </w:tr>
      <w:tr w14:paraId="2E4CA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78" w:type="pct"/>
            <w:tcBorders>
              <w:left w:val="single" w:color="auto" w:sz="8" w:space="0"/>
            </w:tcBorders>
            <w:noWrap w:val="0"/>
            <w:vAlign w:val="center"/>
          </w:tcPr>
          <w:p w14:paraId="66253531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3</w:t>
            </w:r>
          </w:p>
        </w:tc>
        <w:tc>
          <w:tcPr>
            <w:tcW w:w="1157" w:type="pct"/>
            <w:noWrap w:val="0"/>
            <w:vAlign w:val="center"/>
          </w:tcPr>
          <w:p w14:paraId="4E01ED66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策划方案展示与讨论</w:t>
            </w:r>
          </w:p>
        </w:tc>
        <w:tc>
          <w:tcPr>
            <w:tcW w:w="840" w:type="pct"/>
            <w:noWrap w:val="0"/>
            <w:vAlign w:val="center"/>
          </w:tcPr>
          <w:p w14:paraId="2FE7D086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</w:p>
        </w:tc>
        <w:tc>
          <w:tcPr>
            <w:tcW w:w="842" w:type="pct"/>
            <w:noWrap w:val="0"/>
            <w:vAlign w:val="center"/>
          </w:tcPr>
          <w:p w14:paraId="1C098194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各小组展示自己的选题策划方案。</w:t>
            </w:r>
          </w:p>
          <w:p w14:paraId="1845819D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全班进行讨论和交流，提出改进意见。</w:t>
            </w:r>
          </w:p>
          <w:p w14:paraId="26EE82E8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教师对各小组方案进行点评和总结。</w:t>
            </w:r>
          </w:p>
        </w:tc>
        <w:tc>
          <w:tcPr>
            <w:tcW w:w="945" w:type="pct"/>
            <w:noWrap w:val="0"/>
            <w:vAlign w:val="center"/>
          </w:tcPr>
          <w:p w14:paraId="22FC3896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</w:p>
        </w:tc>
        <w:tc>
          <w:tcPr>
            <w:tcW w:w="418" w:type="pct"/>
            <w:noWrap w:val="0"/>
            <w:vAlign w:val="center"/>
          </w:tcPr>
          <w:p w14:paraId="2836C6CE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default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1" w:type="pct"/>
            <w:tcBorders>
              <w:right w:val="single" w:color="auto" w:sz="8" w:space="0"/>
            </w:tcBorders>
            <w:noWrap w:val="0"/>
            <w:vAlign w:val="center"/>
          </w:tcPr>
          <w:p w14:paraId="2DD98B5E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2</w:t>
            </w:r>
          </w:p>
        </w:tc>
      </w:tr>
      <w:tr w14:paraId="57279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78" w:type="pct"/>
            <w:tcBorders>
              <w:left w:val="single" w:color="auto" w:sz="8" w:space="0"/>
            </w:tcBorders>
            <w:noWrap w:val="0"/>
            <w:vAlign w:val="center"/>
          </w:tcPr>
          <w:p w14:paraId="1EDDF2B0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1157" w:type="pct"/>
            <w:noWrap w:val="0"/>
            <w:vAlign w:val="center"/>
          </w:tcPr>
          <w:p w14:paraId="5B52F99C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图片拍摄与处理</w:t>
            </w:r>
          </w:p>
        </w:tc>
        <w:tc>
          <w:tcPr>
            <w:tcW w:w="840" w:type="pct"/>
            <w:noWrap w:val="0"/>
            <w:vAlign w:val="center"/>
          </w:tcPr>
          <w:p w14:paraId="15A525ED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</w:p>
        </w:tc>
        <w:tc>
          <w:tcPr>
            <w:tcW w:w="842" w:type="pct"/>
            <w:noWrap w:val="0"/>
            <w:vAlign w:val="center"/>
          </w:tcPr>
          <w:p w14:paraId="6FE29014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讲解图片拍摄的要点和创意方法。</w:t>
            </w:r>
          </w:p>
          <w:p w14:paraId="7C1AC1BE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学生进行图片拍摄实践，包括风景、人物、静物等。</w:t>
            </w:r>
          </w:p>
          <w:p w14:paraId="12B989F9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学习图片后期处理的基本技巧，如裁剪、调色等</w:t>
            </w:r>
          </w:p>
        </w:tc>
        <w:tc>
          <w:tcPr>
            <w:tcW w:w="945" w:type="pct"/>
            <w:noWrap w:val="0"/>
            <w:vAlign w:val="center"/>
          </w:tcPr>
          <w:p w14:paraId="0FFEDF15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</w:p>
        </w:tc>
        <w:tc>
          <w:tcPr>
            <w:tcW w:w="418" w:type="pct"/>
            <w:noWrap w:val="0"/>
            <w:vAlign w:val="center"/>
          </w:tcPr>
          <w:p w14:paraId="6B51023A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1" w:type="pct"/>
            <w:tcBorders>
              <w:right w:val="single" w:color="auto" w:sz="8" w:space="0"/>
            </w:tcBorders>
            <w:noWrap w:val="0"/>
            <w:vAlign w:val="center"/>
          </w:tcPr>
          <w:p w14:paraId="4A218622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1</w:t>
            </w:r>
          </w:p>
        </w:tc>
      </w:tr>
      <w:tr w14:paraId="039C5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78" w:type="pct"/>
            <w:tcBorders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 w14:paraId="65148190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1157" w:type="pct"/>
            <w:tcBorders>
              <w:bottom w:val="single" w:color="auto" w:sz="8" w:space="0"/>
            </w:tcBorders>
            <w:noWrap w:val="0"/>
            <w:vAlign w:val="center"/>
          </w:tcPr>
          <w:p w14:paraId="439FD2EC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视频剪辑技巧</w:t>
            </w:r>
          </w:p>
        </w:tc>
        <w:tc>
          <w:tcPr>
            <w:tcW w:w="840" w:type="pct"/>
            <w:tcBorders>
              <w:bottom w:val="single" w:color="auto" w:sz="8" w:space="0"/>
            </w:tcBorders>
            <w:noWrap w:val="0"/>
            <w:vAlign w:val="center"/>
          </w:tcPr>
          <w:p w14:paraId="46F6FFA0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</w:p>
        </w:tc>
        <w:tc>
          <w:tcPr>
            <w:tcW w:w="842" w:type="pct"/>
            <w:tcBorders>
              <w:bottom w:val="single" w:color="auto" w:sz="8" w:space="0"/>
            </w:tcBorders>
            <w:noWrap w:val="0"/>
            <w:vAlign w:val="center"/>
          </w:tcPr>
          <w:p w14:paraId="7043545E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讲解剪辑的节奏把握、镜头组接原则。</w:t>
            </w:r>
          </w:p>
          <w:p w14:paraId="04021E07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学习添加转场效果、字幕、音乐等。</w:t>
            </w:r>
          </w:p>
          <w:p w14:paraId="77C41459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  <w:t>- 学生进行视频剪辑实践，完成一个简单的视频作品。</w:t>
            </w:r>
          </w:p>
        </w:tc>
        <w:tc>
          <w:tcPr>
            <w:tcW w:w="945" w:type="pct"/>
            <w:tcBorders>
              <w:bottom w:val="single" w:color="auto" w:sz="8" w:space="0"/>
            </w:tcBorders>
            <w:noWrap w:val="0"/>
            <w:vAlign w:val="center"/>
          </w:tcPr>
          <w:p w14:paraId="63FF03A7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</w:rPr>
            </w:pPr>
          </w:p>
        </w:tc>
        <w:tc>
          <w:tcPr>
            <w:tcW w:w="418" w:type="pct"/>
            <w:tcBorders>
              <w:bottom w:val="single" w:color="auto" w:sz="8" w:space="0"/>
            </w:tcBorders>
            <w:noWrap w:val="0"/>
            <w:vAlign w:val="center"/>
          </w:tcPr>
          <w:p w14:paraId="7A9C45F8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421" w:type="pct"/>
            <w:tcBorders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1272A00">
            <w:pPr>
              <w:widowControl/>
              <w:tabs>
                <w:tab w:val="left" w:pos="1260"/>
              </w:tabs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Cs w:val="21"/>
                <w:lang w:val="en-US" w:eastAsia="zh-CN"/>
              </w:rPr>
              <w:t>2</w:t>
            </w:r>
          </w:p>
        </w:tc>
      </w:tr>
    </w:tbl>
    <w:p w14:paraId="7C44C0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4．实施建议</w:t>
      </w:r>
    </w:p>
    <w:p w14:paraId="280AD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color w:val="0000FF"/>
          <w:sz w:val="24"/>
          <w:szCs w:val="24"/>
        </w:rPr>
      </w:pPr>
      <w:r>
        <w:rPr>
          <w:rFonts w:hint="eastAsia" w:ascii="仿宋" w:hAnsi="仿宋" w:eastAsia="仿宋" w:cs="仿宋"/>
          <w:b/>
          <w:color w:val="0000FF"/>
          <w:sz w:val="24"/>
          <w:szCs w:val="24"/>
        </w:rPr>
        <w:t>4.1师资队伍</w:t>
      </w:r>
    </w:p>
    <w:p w14:paraId="421CE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（1）专任教师</w:t>
      </w:r>
    </w:p>
    <w:p w14:paraId="5C78D9AD">
      <w:pPr>
        <w:widowControl/>
        <w:tabs>
          <w:tab w:val="left" w:pos="1260"/>
        </w:tabs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</w:rPr>
      </w:pPr>
    </w:p>
    <w:p w14:paraId="44BB0D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（2）兼职教师</w:t>
      </w:r>
    </w:p>
    <w:p w14:paraId="25891EBE">
      <w:pPr>
        <w:widowControl/>
        <w:tabs>
          <w:tab w:val="left" w:pos="1260"/>
        </w:tabs>
        <w:adjustRightInd w:val="0"/>
        <w:snapToGrid w:val="0"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Cs/>
          <w:kern w:val="0"/>
          <w:sz w:val="24"/>
        </w:rPr>
      </w:pPr>
    </w:p>
    <w:p w14:paraId="425A62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4.2教材及相关资源</w:t>
      </w:r>
    </w:p>
    <w:p w14:paraId="3333A2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1.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《美国纽约摄影学院摄影教材》是2010年8月1日由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instrText xml:space="preserve"> HYPERLINK "https://baike.baidu.com/item/%E4%B8%AD%E5%9B%BD%E6%91%84%E5%BD%B1%E5%87%BA%E7%89%88%E7%A4%BE/2926766" \t "https://baike.baidu.com/item/%E7%BE%8E%E5%9B%BD%E7%BA%BD%E7%BA%A6%E6%91%84%E5%BD%B1%E5%AD%A6%E9%99%A2%E6%91%84%E5%BD%B1%E6%95%99%E6%9D%90/_blank" </w:instrTex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Cs/>
          <w:kern w:val="0"/>
          <w:sz w:val="24"/>
        </w:rPr>
        <w:t>中国摄影出版社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fldChar w:fldCharType="end"/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出版，由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instrText xml:space="preserve"> HYPERLINK "https://baike.baidu.com/item/%E7%BE%8E%E5%9B%BD%E7%BA%BD%E7%BA%A6%E6%91%84%E5%BD%B1%E5%AD%A6%E9%99%A2/5645469" \t "https://baike.baidu.com/item/%E7%BE%8E%E5%9B%BD%E7%BA%BD%E7%BA%A6%E6%91%84%E5%BD%B1%E5%AD%A6%E9%99%A2%E6%91%84%E5%BD%B1%E6%95%99%E6%9D%90/_blank" </w:instrTex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Cs/>
          <w:kern w:val="0"/>
          <w:sz w:val="24"/>
        </w:rPr>
        <w:t>美国纽约摄影学院</w:t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fldChar w:fldCharType="end"/>
      </w: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编著。</w:t>
      </w:r>
    </w:p>
    <w:p w14:paraId="51EDDF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4.3教学组织模式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0"/>
        <w:gridCol w:w="3415"/>
        <w:gridCol w:w="3413"/>
      </w:tblGrid>
      <w:tr w14:paraId="6FBA7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324" w:type="pct"/>
            <w:tcBorders>
              <w:top w:val="single" w:color="auto" w:sz="8" w:space="0"/>
              <w:left w:val="single" w:color="auto" w:sz="8" w:space="0"/>
            </w:tcBorders>
            <w:shd w:val="clear" w:color="auto" w:fill="E0E0E0"/>
            <w:noWrap w:val="0"/>
            <w:vAlign w:val="center"/>
          </w:tcPr>
          <w:p w14:paraId="3FF60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Cs w:val="21"/>
              </w:rPr>
            </w:pPr>
          </w:p>
        </w:tc>
        <w:tc>
          <w:tcPr>
            <w:tcW w:w="1838" w:type="pct"/>
            <w:tcBorders>
              <w:top w:val="single" w:color="auto" w:sz="8" w:space="0"/>
            </w:tcBorders>
            <w:shd w:val="clear" w:color="auto" w:fill="E0E0E0"/>
            <w:noWrap w:val="0"/>
            <w:vAlign w:val="center"/>
          </w:tcPr>
          <w:p w14:paraId="724E1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理论教学</w:t>
            </w:r>
          </w:p>
        </w:tc>
        <w:tc>
          <w:tcPr>
            <w:tcW w:w="1837" w:type="pct"/>
            <w:tcBorders>
              <w:top w:val="single" w:color="auto" w:sz="8" w:space="0"/>
              <w:right w:val="single" w:color="auto" w:sz="8" w:space="0"/>
            </w:tcBorders>
            <w:shd w:val="clear" w:color="auto" w:fill="E0E0E0"/>
            <w:noWrap w:val="0"/>
            <w:vAlign w:val="center"/>
          </w:tcPr>
          <w:p w14:paraId="0132E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实践教学</w:t>
            </w:r>
          </w:p>
        </w:tc>
      </w:tr>
      <w:tr w14:paraId="05BEB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exact"/>
        </w:trPr>
        <w:tc>
          <w:tcPr>
            <w:tcW w:w="1324" w:type="pct"/>
            <w:tcBorders>
              <w:left w:val="single" w:color="auto" w:sz="8" w:space="0"/>
            </w:tcBorders>
            <w:noWrap w:val="0"/>
            <w:vAlign w:val="center"/>
          </w:tcPr>
          <w:p w14:paraId="47323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</w:rPr>
              <w:t>教学环境要求</w:t>
            </w:r>
          </w:p>
        </w:tc>
        <w:tc>
          <w:tcPr>
            <w:tcW w:w="1838" w:type="pct"/>
            <w:noWrap w:val="0"/>
            <w:vAlign w:val="center"/>
          </w:tcPr>
          <w:p w14:paraId="1AD20F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</w:rPr>
              <w:t>教室，配备多媒体设备</w:t>
            </w:r>
          </w:p>
        </w:tc>
        <w:tc>
          <w:tcPr>
            <w:tcW w:w="1837" w:type="pct"/>
            <w:tcBorders>
              <w:right w:val="single" w:color="auto" w:sz="8" w:space="0"/>
            </w:tcBorders>
            <w:noWrap w:val="0"/>
            <w:vAlign w:val="center"/>
          </w:tcPr>
          <w:p w14:paraId="57F5D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</w:rPr>
              <w:t>XXX实验（实训）室、机房，配备</w:t>
            </w:r>
            <w:r>
              <w:rPr>
                <w:rFonts w:hint="eastAsia" w:ascii="仿宋" w:hAnsi="仿宋" w:eastAsia="仿宋" w:cs="仿宋"/>
                <w:b w:val="0"/>
                <w:bCs w:val="0"/>
                <w:szCs w:val="21"/>
                <w:lang w:val="en-US" w:eastAsia="zh-CN"/>
              </w:rPr>
              <w:t>发布软件</w:t>
            </w:r>
          </w:p>
        </w:tc>
      </w:tr>
      <w:tr w14:paraId="06259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exact"/>
        </w:trPr>
        <w:tc>
          <w:tcPr>
            <w:tcW w:w="1324" w:type="pct"/>
            <w:tcBorders>
              <w:left w:val="single" w:color="auto" w:sz="8" w:space="0"/>
            </w:tcBorders>
            <w:noWrap w:val="0"/>
            <w:vAlign w:val="center"/>
          </w:tcPr>
          <w:p w14:paraId="3BE6D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</w:rPr>
              <w:t>教学材料要求</w:t>
            </w:r>
          </w:p>
        </w:tc>
        <w:tc>
          <w:tcPr>
            <w:tcW w:w="1838" w:type="pct"/>
            <w:noWrap w:val="0"/>
            <w:vAlign w:val="center"/>
          </w:tcPr>
          <w:p w14:paraId="39D63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</w:rPr>
              <w:t>多媒体课件、任务书</w:t>
            </w:r>
            <w:r>
              <w:rPr>
                <w:rFonts w:hint="eastAsia" w:ascii="仿宋" w:hAnsi="仿宋" w:eastAsia="仿宋" w:cs="仿宋"/>
                <w:b w:val="0"/>
                <w:bCs w:val="0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szCs w:val="21"/>
                <w:lang w:val="en-US" w:eastAsia="zh-CN"/>
              </w:rPr>
              <w:t>视频样片</w:t>
            </w:r>
          </w:p>
        </w:tc>
        <w:tc>
          <w:tcPr>
            <w:tcW w:w="1837" w:type="pct"/>
            <w:tcBorders>
              <w:right w:val="single" w:color="auto" w:sz="8" w:space="0"/>
            </w:tcBorders>
            <w:noWrap w:val="0"/>
            <w:vAlign w:val="center"/>
          </w:tcPr>
          <w:p w14:paraId="7C9B5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</w:rPr>
              <w:t>实训指导书、相关技术资料</w:t>
            </w:r>
          </w:p>
        </w:tc>
      </w:tr>
      <w:tr w14:paraId="4DDF4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324" w:type="pct"/>
            <w:tcBorders>
              <w:left w:val="single" w:color="auto" w:sz="8" w:space="0"/>
              <w:bottom w:val="single" w:color="auto" w:sz="8" w:space="0"/>
            </w:tcBorders>
            <w:noWrap w:val="0"/>
            <w:vAlign w:val="center"/>
          </w:tcPr>
          <w:p w14:paraId="42AA0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</w:rPr>
              <w:t>教学组织模式</w:t>
            </w:r>
          </w:p>
        </w:tc>
        <w:tc>
          <w:tcPr>
            <w:tcW w:w="1838" w:type="pct"/>
            <w:tcBorders>
              <w:bottom w:val="single" w:color="auto" w:sz="8" w:space="0"/>
            </w:tcBorders>
            <w:noWrap w:val="0"/>
            <w:vAlign w:val="center"/>
          </w:tcPr>
          <w:p w14:paraId="39E08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  <w:lang w:val="en-US" w:eastAsia="zh-CN"/>
              </w:rPr>
              <w:t>理论讲述</w:t>
            </w:r>
          </w:p>
        </w:tc>
        <w:tc>
          <w:tcPr>
            <w:tcW w:w="1837" w:type="pct"/>
            <w:tcBorders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BF9D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  <w:lang w:val="en-US" w:eastAsia="zh-CN"/>
              </w:rPr>
              <w:t>机房实操</w:t>
            </w:r>
          </w:p>
        </w:tc>
      </w:tr>
    </w:tbl>
    <w:p w14:paraId="3CE33F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4.4教学方法与手段</w:t>
      </w:r>
    </w:p>
    <w:p w14:paraId="231A80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1.讲授法</w:t>
      </w:r>
    </w:p>
    <w:p w14:paraId="2E271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讲解融媒体的理论知识、技术要点和操作流程。</w:t>
      </w:r>
    </w:p>
    <w:p w14:paraId="2F31B2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2.演示法</w:t>
      </w:r>
    </w:p>
    <w:p w14:paraId="20A6A6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教师通过实际操作演示软件工具的使用和制作过程。</w:t>
      </w:r>
    </w:p>
    <w:p w14:paraId="135F2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3.实践法</w:t>
      </w:r>
    </w:p>
    <w:p w14:paraId="632939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学生在课堂上进行实践练习，完成各项任务。</w:t>
      </w:r>
    </w:p>
    <w:p w14:paraId="2026D1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4.案例分析法</w:t>
      </w:r>
    </w:p>
    <w:p w14:paraId="79B514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分析优秀的融媒体案例，引导学生学习和借鉴。</w:t>
      </w:r>
    </w:p>
    <w:p w14:paraId="6B2B2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5.小组讨论法</w:t>
      </w:r>
    </w:p>
    <w:p w14:paraId="058D2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组织学生分组讨论，共同解决问题，激发创意。</w:t>
      </w:r>
    </w:p>
    <w:p w14:paraId="1B84BC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6.作品展示与评价法</w:t>
      </w:r>
    </w:p>
    <w:p w14:paraId="460D40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展示学生作品，进行评价和反馈，促进学生改进和提高。</w:t>
      </w:r>
    </w:p>
    <w:p w14:paraId="310F1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4.</w:t>
      </w:r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/>
          <w:sz w:val="24"/>
          <w:szCs w:val="24"/>
        </w:rPr>
        <w:t>教学考核与评价</w:t>
      </w:r>
    </w:p>
    <w:p w14:paraId="52E2A8A8">
      <w:pPr>
        <w:spacing w:line="360" w:lineRule="auto"/>
        <w:ind w:firstLine="480" w:firstLineChars="200"/>
        <w:rPr>
          <w:rFonts w:hint="default" w:ascii="仿宋" w:hAnsi="仿宋" w:eastAsia="仿宋" w:cs="仿宋"/>
          <w:bCs/>
          <w:kern w:val="0"/>
          <w:sz w:val="24"/>
          <w:lang w:val="en-US" w:eastAsia="zh-CN"/>
        </w:rPr>
      </w:pPr>
      <w:r>
        <w:rPr>
          <w:rFonts w:hint="eastAsia" w:ascii="仿宋" w:hAnsi="仿宋" w:eastAsia="仿宋" w:cs="仿宋"/>
          <w:bCs/>
          <w:kern w:val="0"/>
          <w:sz w:val="24"/>
          <w:lang w:val="en-US" w:eastAsia="zh-CN"/>
        </w:rPr>
        <w:t>根据课程方案制定，本门课程为考查课，考核方式分配如下；</w:t>
      </w:r>
    </w:p>
    <w:p w14:paraId="03534276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过程考核：</w:t>
      </w:r>
    </w:p>
    <w:p w14:paraId="38D885CB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列出过程考核项目，各项目所占比例。</w:t>
      </w:r>
    </w:p>
    <w:p w14:paraId="01C1D44D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过程考核的总成绩可以为100分。</w:t>
      </w:r>
    </w:p>
    <w:p w14:paraId="07A91798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终结性考核：</w:t>
      </w:r>
    </w:p>
    <w:p w14:paraId="74E1BD19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可以列出各模块（项目）在总体考核中所占比例</w:t>
      </w:r>
    </w:p>
    <w:p w14:paraId="33B6EEFA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终结性考核的总成绩可以为100分。</w:t>
      </w:r>
    </w:p>
    <w:p w14:paraId="434BC592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总成绩：</w:t>
      </w:r>
    </w:p>
    <w:p w14:paraId="09EA2EA5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  <w:r>
        <w:rPr>
          <w:rFonts w:hint="eastAsia" w:ascii="仿宋" w:hAnsi="仿宋" w:eastAsia="仿宋" w:cs="仿宋"/>
          <w:bCs/>
          <w:kern w:val="0"/>
          <w:sz w:val="24"/>
        </w:rPr>
        <w:t>总成绩=过程考核×40%+终结性考核×60%。</w:t>
      </w:r>
    </w:p>
    <w:p w14:paraId="53FF0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4．6其他说明</w:t>
      </w:r>
    </w:p>
    <w:p w14:paraId="4E5CF5A3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</w:p>
    <w:p w14:paraId="3EC4AB9D">
      <w:pPr>
        <w:spacing w:line="360" w:lineRule="auto"/>
        <w:ind w:firstLine="480" w:firstLineChars="200"/>
        <w:rPr>
          <w:rFonts w:hint="eastAsia" w:ascii="仿宋" w:hAnsi="仿宋" w:eastAsia="仿宋" w:cs="仿宋"/>
          <w:bCs/>
          <w:kern w:val="0"/>
          <w:sz w:val="24"/>
        </w:rPr>
      </w:pPr>
    </w:p>
    <w:p w14:paraId="450B50C6">
      <w:pPr>
        <w:wordWrap w:val="0"/>
        <w:spacing w:line="360" w:lineRule="auto"/>
        <w:ind w:firstLine="470" w:firstLineChars="196"/>
        <w:jc w:val="right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XXXXXX课程组</w:t>
      </w:r>
    </w:p>
    <w:p w14:paraId="7050441A">
      <w:pPr>
        <w:spacing w:line="360" w:lineRule="auto"/>
        <w:ind w:firstLine="470" w:firstLineChars="196"/>
        <w:jc w:val="right"/>
        <w:rPr>
          <w:rFonts w:ascii="仿宋_GB2312" w:hAnsi="宋体" w:eastAsia="仿宋_GB2312" w:cs="宋体"/>
          <w:bCs/>
          <w:kern w:val="0"/>
          <w:sz w:val="24"/>
        </w:rPr>
      </w:pPr>
      <w:r>
        <w:rPr>
          <w:rFonts w:hint="eastAsia" w:ascii="仿宋_GB2312" w:eastAsia="仿宋_GB2312"/>
          <w:sz w:val="24"/>
          <w:lang w:val="en-US" w:eastAsia="zh-CN"/>
        </w:rPr>
        <w:t>2023</w:t>
      </w:r>
      <w:r>
        <w:rPr>
          <w:rFonts w:hint="eastAsia" w:ascii="仿宋_GB2312" w:eastAsia="仿宋_GB2312"/>
          <w:sz w:val="24"/>
        </w:rPr>
        <w:t>年</w:t>
      </w:r>
      <w:r>
        <w:rPr>
          <w:rFonts w:hint="eastAsia" w:ascii="仿宋_GB2312" w:eastAsia="仿宋_GB2312"/>
          <w:sz w:val="24"/>
          <w:lang w:val="en-US" w:eastAsia="zh-CN"/>
        </w:rPr>
        <w:t>12</w:t>
      </w:r>
      <w:r>
        <w:rPr>
          <w:rFonts w:hint="eastAsia" w:ascii="仿宋_GB2312" w:eastAsia="仿宋_GB2312"/>
          <w:sz w:val="24"/>
        </w:rPr>
        <w:t>月</w:t>
      </w:r>
    </w:p>
    <w:p w14:paraId="4D85CBE0">
      <w:pPr>
        <w:rPr>
          <w:rFonts w:hint="eastAsia" w:ascii="仿宋_GB2312" w:eastAsia="仿宋_GB2312"/>
          <w:b/>
          <w:color w:val="C00000"/>
          <w:szCs w:val="21"/>
        </w:rPr>
      </w:pPr>
      <w:r>
        <w:rPr>
          <w:rFonts w:hint="eastAsia" w:ascii="仿宋_GB2312" w:eastAsia="仿宋_GB2312"/>
          <w:b/>
          <w:color w:val="C00000"/>
          <w:szCs w:val="21"/>
        </w:rPr>
        <w:br w:type="page"/>
      </w:r>
    </w:p>
    <w:p w14:paraId="42D48389">
      <w:pPr>
        <w:spacing w:line="360" w:lineRule="auto"/>
        <w:ind w:firstLine="422" w:firstLineChars="200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eastAsia="仿宋_GB2312"/>
          <w:b/>
          <w:color w:val="C00000"/>
          <w:szCs w:val="21"/>
        </w:rPr>
        <w:t>※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说明：</w:t>
      </w:r>
    </w:p>
    <w:p w14:paraId="0CE0DF22">
      <w:pPr>
        <w:spacing w:line="360" w:lineRule="auto"/>
        <w:ind w:firstLine="422" w:firstLineChars="200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本体例中如“第X学期”可改写为“第3学期”；如“学习情境/项目/教学内容（三选一）”可选取“学习情境”。全文最后统一用黑色字体。具体格式要求如下：</w:t>
      </w:r>
    </w:p>
    <w:p w14:paraId="0D48A2B6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一、文本格式</w:t>
      </w:r>
    </w:p>
    <w:p w14:paraId="29A5F148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1.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页面设置</w:t>
      </w:r>
    </w:p>
    <w:p w14:paraId="4CAE2E86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纸张大小为A4，纵向，页边距上、下、左、右边距各2.5厘米，页码居中。</w:t>
      </w:r>
    </w:p>
    <w:p w14:paraId="780F1351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2.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文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本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格式</w:t>
      </w:r>
    </w:p>
    <w:p w14:paraId="36EA805A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（1）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题目</w:t>
      </w:r>
    </w:p>
    <w:p w14:paraId="49FFCA4B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宋体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、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三号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、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加粗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、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居中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。</w:t>
      </w:r>
    </w:p>
    <w:p w14:paraId="2F378521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（2）标题</w:t>
      </w:r>
    </w:p>
    <w:p w14:paraId="2EDB26F4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一级标题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：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仿宋体，小四号，加粗，首行缩进2个字符，段前段后0.5行，1.5倍行距，序号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如体例，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不使用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电脑自动排号。</w:t>
      </w:r>
    </w:p>
    <w:p w14:paraId="250F76A7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二级标题：仿宋体，小四号，加粗，首行缩进2个字符，段前段后0行，1.5倍行距，序号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如体例，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不使用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电脑自动排号。</w:t>
      </w:r>
    </w:p>
    <w:p w14:paraId="62EAF6FE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三级标题：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仿宋体，小四号，首行缩进2个字符，段前段后0行，1.5倍行距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，序号采用“（1）”符号，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不使用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电脑自动排号。</w:t>
      </w:r>
    </w:p>
    <w:p w14:paraId="1F9521CC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（3）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正文</w:t>
      </w:r>
    </w:p>
    <w:p w14:paraId="048E372B">
      <w:pPr>
        <w:widowControl/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仿宋体，小四号，首行缩进2个字符，段前段后0行，1.5倍行距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。</w:t>
      </w:r>
    </w:p>
    <w:p w14:paraId="148B6CD9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（4）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表格格式</w:t>
      </w:r>
    </w:p>
    <w:p w14:paraId="61CD9B56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标题为仿宋体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、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五号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、加粗、居中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，段前0.5行,段后0行，1.5倍行距；</w:t>
      </w:r>
    </w:p>
    <w:p w14:paraId="77044DDB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表格内容为仿宋体，五号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；</w:t>
      </w:r>
    </w:p>
    <w:p w14:paraId="28861976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表格内文字垂直居中，水平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对齐：一行文字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居中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、多行文字</w:t>
      </w: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左对齐，段前段后0行，单倍行距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；</w:t>
      </w:r>
    </w:p>
    <w:p w14:paraId="6EAFF347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单元格中段落文字结束不加标点符号；</w:t>
      </w:r>
    </w:p>
    <w:p w14:paraId="1A5E869F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ascii="仿宋_GB2312" w:hAnsi="宋体" w:eastAsia="仿宋_GB2312" w:cs="宋体"/>
          <w:b/>
          <w:bCs/>
          <w:color w:val="C00000"/>
          <w:kern w:val="0"/>
          <w:szCs w:val="21"/>
        </w:rPr>
        <w:t>表格单行高1cm，内框线1/2磅，外框线1磅，表头文字加粗，底纹自行设计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；</w:t>
      </w:r>
    </w:p>
    <w:p w14:paraId="1D3FA15B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文中表格页面宽度要统一，自动调整选择“根据窗口调整表格”。</w:t>
      </w:r>
    </w:p>
    <w:p w14:paraId="7D875E6F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二、课程标准标题</w:t>
      </w:r>
    </w:p>
    <w:p w14:paraId="70AC5FCB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课程名称请严格按照20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23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版专业人才培养方案准确填写，不能出现多字，少字和自创名称现象。</w:t>
      </w:r>
    </w:p>
    <w:p w14:paraId="55D7DD87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三、课程标准标题下表格填写要求</w:t>
      </w:r>
    </w:p>
    <w:p w14:paraId="56BB6B14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1.课程代码、课程类别、课程类型和课程性质请严格按照20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23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版专业人才培养方案准确填写，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u w:val="single"/>
        </w:rPr>
        <w:t>课程代码为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u w:val="single"/>
          <w:lang w:val="en-US" w:eastAsia="zh-CN"/>
        </w:rPr>
        <w:t>7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u w:val="single"/>
        </w:rPr>
        <w:t>位数字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u w:val="single"/>
          <w:lang w:eastAsia="zh-CN"/>
        </w:rPr>
        <w:t>，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u w:val="single"/>
          <w:lang w:val="en-US" w:eastAsia="zh-CN"/>
        </w:rPr>
        <w:t>教务管理系统中已录入课程的代码必须一致，教务系统中未录入课程的代码按编码规则编排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，例如课程类别正确填写是“公共基础课程、人文素质课程、专业基础课程、专业技能课程、专业拓展课程”。课程类型正确填写为“理论课程、实践课程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eastAsia="zh-CN"/>
        </w:rPr>
        <w:t>、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理实一体课程”等，课程性质正确填写是“必修课程、选修课程”。</w:t>
      </w:r>
    </w:p>
    <w:p w14:paraId="7415C56A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2.适用专业一栏，无论是一个专业还是多个专业均不填写“专业”二字，如果课程标准适用于多个专业，以管理学院《商务礼仪》课程标准为例，假如《商务礼仪》课程标准适用于“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电子商务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、现代物流管理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eastAsia="zh-CN"/>
        </w:rPr>
        <w:t>、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酒店管理与数字化运营”三个专业，修读学期分别在第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3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、第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3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和第2学期开设，那么适用专业填写为“电子商务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/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现代物流管理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/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酒店管理与数字化运营”，对应的修读学期填写为“第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3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/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3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/2学期”。</w:t>
      </w:r>
    </w:p>
    <w:p w14:paraId="021E5216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3.课程学分填写为“X学分”，课程学时填写为“X学时”。</w:t>
      </w:r>
    </w:p>
    <w:p w14:paraId="3D0D02C8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四、其他</w:t>
      </w:r>
    </w:p>
    <w:p w14:paraId="5A8A52C3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1.落款日期</w:t>
      </w:r>
    </w:p>
    <w:p w14:paraId="1C542BF6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两个学期的课程标准落款日期统一填写为：20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23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年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  <w:lang w:val="en-US" w:eastAsia="zh-CN"/>
        </w:rPr>
        <w:t>12</w:t>
      </w: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月。</w:t>
      </w:r>
    </w:p>
    <w:p w14:paraId="501A9BF5">
      <w:pPr>
        <w:spacing w:line="400" w:lineRule="exact"/>
        <w:ind w:firstLine="422" w:firstLineChars="200"/>
        <w:jc w:val="left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2.请仔细检查文本中的标点和文字，避免出现同一层次的标点符号不统一和文字出现多字、少字和错别字的现象。</w:t>
      </w:r>
    </w:p>
    <w:p w14:paraId="5474E1FF">
      <w:pPr>
        <w:spacing w:line="360" w:lineRule="auto"/>
        <w:ind w:firstLine="422" w:firstLineChars="200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  <w:r>
        <w:rPr>
          <w:rFonts w:hint="eastAsia" w:ascii="仿宋_GB2312" w:hAnsi="宋体" w:eastAsia="仿宋_GB2312" w:cs="宋体"/>
          <w:b/>
          <w:bCs/>
          <w:color w:val="C00000"/>
          <w:kern w:val="0"/>
          <w:szCs w:val="21"/>
        </w:rPr>
        <w:t>3.请保留本课程标准体例的格式，除字体颜色、表格的行高与列宽之外的其他格式尽量不要做改动。</w:t>
      </w:r>
    </w:p>
    <w:p w14:paraId="16538C5D">
      <w:pPr>
        <w:spacing w:line="360" w:lineRule="auto"/>
        <w:ind w:firstLine="422" w:firstLineChars="200"/>
        <w:rPr>
          <w:rFonts w:ascii="仿宋_GB2312" w:hAnsi="宋体" w:eastAsia="仿宋_GB2312" w:cs="宋体"/>
          <w:b/>
          <w:bCs/>
          <w:color w:val="C00000"/>
          <w:kern w:val="0"/>
          <w:szCs w:val="21"/>
        </w:rPr>
      </w:pPr>
    </w:p>
    <w:p w14:paraId="57AB052E">
      <w:pPr>
        <w:spacing w:line="360" w:lineRule="auto"/>
        <w:ind w:firstLine="472" w:firstLineChars="196"/>
        <w:jc w:val="left"/>
        <w:rPr>
          <w:rFonts w:ascii="仿宋_GB2312" w:eastAsia="仿宋_GB2312"/>
          <w:b/>
          <w:sz w:val="24"/>
        </w:rPr>
      </w:pPr>
    </w:p>
    <w:p w14:paraId="00CCD086">
      <w:pPr>
        <w:spacing w:line="360" w:lineRule="auto"/>
        <w:ind w:firstLine="472" w:firstLineChars="196"/>
        <w:jc w:val="left"/>
        <w:rPr>
          <w:rFonts w:ascii="仿宋_GB2312" w:eastAsia="仿宋_GB2312"/>
          <w:b/>
          <w:sz w:val="24"/>
        </w:rPr>
      </w:pPr>
    </w:p>
    <w:p w14:paraId="546F3624">
      <w:pPr>
        <w:spacing w:line="360" w:lineRule="auto"/>
        <w:ind w:firstLine="472" w:firstLineChars="196"/>
        <w:jc w:val="left"/>
        <w:rPr>
          <w:rFonts w:ascii="仿宋_GB2312" w:eastAsia="仿宋_GB2312"/>
          <w:b/>
          <w:sz w:val="24"/>
        </w:rPr>
      </w:pPr>
    </w:p>
    <w:p w14:paraId="4AE1D9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footerReference r:id="rId3" w:type="default"/>
      <w:pgSz w:w="11906" w:h="16838"/>
      <w:pgMar w:top="1417" w:right="1417" w:bottom="141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645F85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EFF083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EFF083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65BC7F"/>
    <w:multiLevelType w:val="singleLevel"/>
    <w:tmpl w:val="D965BC7F"/>
    <w:lvl w:ilvl="0" w:tentative="0">
      <w:start w:val="2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MGZlNzBjZTA4YTY1M2Y2YjE0ZWRlNDk2YzAyNzUifQ=="/>
    <w:docVar w:name="KSO_WPS_MARK_KEY" w:val="7d8965b5-aa92-49f1-af67-d545dc8f1348"/>
  </w:docVars>
  <w:rsids>
    <w:rsidRoot w:val="51C93E9A"/>
    <w:rsid w:val="00216226"/>
    <w:rsid w:val="00A67D58"/>
    <w:rsid w:val="02FA25DD"/>
    <w:rsid w:val="03700A77"/>
    <w:rsid w:val="03A435E0"/>
    <w:rsid w:val="03F24A85"/>
    <w:rsid w:val="051D3933"/>
    <w:rsid w:val="05A80BF4"/>
    <w:rsid w:val="071D4571"/>
    <w:rsid w:val="09703568"/>
    <w:rsid w:val="0A590531"/>
    <w:rsid w:val="0B064109"/>
    <w:rsid w:val="0B2076F2"/>
    <w:rsid w:val="0C1110C3"/>
    <w:rsid w:val="0C34090D"/>
    <w:rsid w:val="0CD34539"/>
    <w:rsid w:val="0F6308F2"/>
    <w:rsid w:val="103E62C8"/>
    <w:rsid w:val="1157728C"/>
    <w:rsid w:val="123C49C0"/>
    <w:rsid w:val="132316DC"/>
    <w:rsid w:val="15126455"/>
    <w:rsid w:val="16041585"/>
    <w:rsid w:val="16BA2357"/>
    <w:rsid w:val="171A4BA4"/>
    <w:rsid w:val="1780706C"/>
    <w:rsid w:val="17A67FC4"/>
    <w:rsid w:val="1815474B"/>
    <w:rsid w:val="182C565A"/>
    <w:rsid w:val="1ABC48F0"/>
    <w:rsid w:val="1CC10C37"/>
    <w:rsid w:val="1EAC713F"/>
    <w:rsid w:val="1EC04283"/>
    <w:rsid w:val="1ED32208"/>
    <w:rsid w:val="1F901EA7"/>
    <w:rsid w:val="2052145F"/>
    <w:rsid w:val="210E5779"/>
    <w:rsid w:val="275A34C6"/>
    <w:rsid w:val="286640ED"/>
    <w:rsid w:val="2B6C5576"/>
    <w:rsid w:val="2B6D58EC"/>
    <w:rsid w:val="2B8574AE"/>
    <w:rsid w:val="2BBB474F"/>
    <w:rsid w:val="2BC929C8"/>
    <w:rsid w:val="2C6775F9"/>
    <w:rsid w:val="2CAE56E3"/>
    <w:rsid w:val="2E2E1AC0"/>
    <w:rsid w:val="2E6B55BC"/>
    <w:rsid w:val="2EF02962"/>
    <w:rsid w:val="31CF5368"/>
    <w:rsid w:val="3293788C"/>
    <w:rsid w:val="33403BE0"/>
    <w:rsid w:val="3355588E"/>
    <w:rsid w:val="36785717"/>
    <w:rsid w:val="36FB1EA4"/>
    <w:rsid w:val="38223F96"/>
    <w:rsid w:val="3A6164C2"/>
    <w:rsid w:val="3C067321"/>
    <w:rsid w:val="3CA8487C"/>
    <w:rsid w:val="3D960B78"/>
    <w:rsid w:val="3E155F41"/>
    <w:rsid w:val="40B67E1F"/>
    <w:rsid w:val="412B15D8"/>
    <w:rsid w:val="41E36D80"/>
    <w:rsid w:val="440920A4"/>
    <w:rsid w:val="44120790"/>
    <w:rsid w:val="441D5ABF"/>
    <w:rsid w:val="44354C47"/>
    <w:rsid w:val="45AA51C1"/>
    <w:rsid w:val="47024B89"/>
    <w:rsid w:val="478006A4"/>
    <w:rsid w:val="48C06AA9"/>
    <w:rsid w:val="49311755"/>
    <w:rsid w:val="4A213B92"/>
    <w:rsid w:val="4A286FFC"/>
    <w:rsid w:val="4D185106"/>
    <w:rsid w:val="50577CF3"/>
    <w:rsid w:val="513D7546"/>
    <w:rsid w:val="51C93E9A"/>
    <w:rsid w:val="53C51418"/>
    <w:rsid w:val="54DF7F3F"/>
    <w:rsid w:val="580C5867"/>
    <w:rsid w:val="584E5DEF"/>
    <w:rsid w:val="595A2602"/>
    <w:rsid w:val="5AF21A6E"/>
    <w:rsid w:val="5B606C9A"/>
    <w:rsid w:val="5CA16EC6"/>
    <w:rsid w:val="5CC20BEA"/>
    <w:rsid w:val="5DC7295C"/>
    <w:rsid w:val="5E987E55"/>
    <w:rsid w:val="61B431F8"/>
    <w:rsid w:val="61CF7201"/>
    <w:rsid w:val="62FB6C04"/>
    <w:rsid w:val="64A623E4"/>
    <w:rsid w:val="64DC5E63"/>
    <w:rsid w:val="65B13C0A"/>
    <w:rsid w:val="660F30F2"/>
    <w:rsid w:val="662D17CA"/>
    <w:rsid w:val="66DD20EA"/>
    <w:rsid w:val="67557433"/>
    <w:rsid w:val="676A2EDD"/>
    <w:rsid w:val="69A57ACC"/>
    <w:rsid w:val="69CE5072"/>
    <w:rsid w:val="6AF45B19"/>
    <w:rsid w:val="6DD01C70"/>
    <w:rsid w:val="6E781A51"/>
    <w:rsid w:val="70243E27"/>
    <w:rsid w:val="704722A6"/>
    <w:rsid w:val="7521355C"/>
    <w:rsid w:val="76E642B3"/>
    <w:rsid w:val="77510985"/>
    <w:rsid w:val="77ED2B68"/>
    <w:rsid w:val="7A5A5135"/>
    <w:rsid w:val="7B997A06"/>
    <w:rsid w:val="7C952F3C"/>
    <w:rsid w:val="7E3E1F04"/>
    <w:rsid w:val="7E7E276B"/>
    <w:rsid w:val="7EBF5AF6"/>
    <w:rsid w:val="7F121106"/>
    <w:rsid w:val="7F67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3023</Words>
  <Characters>3127</Characters>
  <Lines>0</Lines>
  <Paragraphs>0</Paragraphs>
  <TotalTime>9</TotalTime>
  <ScaleCrop>false</ScaleCrop>
  <LinksUpToDate>false</LinksUpToDate>
  <CharactersWithSpaces>3143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2024-05-06T01:28:00Z</dcterms:created>
  <dc:creator>潘怀</dc:creator>
  <cp:lastModifiedBy>蒙宝.</cp:lastModifiedBy>
  <dcterms:modified xsi:type="dcterms:W3CDTF">2024-09-18T05:17:38Z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31377F4792774B45AC33E51F36114246_13</vt:lpwstr>
  </property>
</Properties>
</file>