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03B480">
      <w:pPr>
        <w:rPr>
          <w:sz w:val="56"/>
        </w:rPr>
      </w:pPr>
      <w:r>
        <w:rPr>
          <w:sz w:val="56"/>
        </w:rPr>
        <w:drawing>
          <wp:inline distT="0" distB="0" distL="114300" distR="114300">
            <wp:extent cx="3076575" cy="723900"/>
            <wp:effectExtent l="0" t="0" r="9525" b="0"/>
            <wp:docPr id="3" name="图片 3" descr="C:/Users/吉林水利电力职业学院/Desktop/logo.png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吉林水利电力职业学院/Desktop/logo.pnglogo"/>
                    <pic:cNvPicPr>
                      <a:picLocks noChangeAspect="1"/>
                    </pic:cNvPicPr>
                  </pic:nvPicPr>
                  <pic:blipFill>
                    <a:blip r:embed="rId6"/>
                    <a:srcRect t="9370" b="9370"/>
                    <a:stretch>
                      <a:fillRect/>
                    </a:stretch>
                  </pic:blipFill>
                  <pic:spPr>
                    <a:xfrm>
                      <a:off x="0" y="0"/>
                      <a:ext cx="3076575" cy="723900"/>
                    </a:xfrm>
                    <a:prstGeom prst="rect">
                      <a:avLst/>
                    </a:prstGeom>
                    <a:noFill/>
                    <a:ln>
                      <a:noFill/>
                    </a:ln>
                  </pic:spPr>
                </pic:pic>
              </a:graphicData>
            </a:graphic>
          </wp:inline>
        </w:drawing>
      </w:r>
    </w:p>
    <w:p w14:paraId="57303737">
      <w:pPr>
        <w:jc w:val="center"/>
        <w:rPr>
          <w:sz w:val="56"/>
        </w:rPr>
      </w:pPr>
    </w:p>
    <w:p w14:paraId="6FC312F7">
      <w:pPr>
        <w:jc w:val="center"/>
        <w:rPr>
          <w:sz w:val="56"/>
        </w:rPr>
      </w:pPr>
    </w:p>
    <w:p w14:paraId="29BB93B4">
      <w:pPr>
        <w:jc w:val="center"/>
        <w:rPr>
          <w:sz w:val="56"/>
        </w:rPr>
      </w:pPr>
    </w:p>
    <w:p w14:paraId="4383C28D">
      <w:pPr>
        <w:jc w:val="center"/>
        <w:rPr>
          <w:rFonts w:hint="eastAsia" w:ascii="黑体" w:hAnsi="黑体" w:eastAsia="黑体"/>
          <w:sz w:val="52"/>
          <w:szCs w:val="72"/>
          <w:lang w:val="en-US" w:eastAsia="zh-CN"/>
        </w:rPr>
      </w:pPr>
      <w:r>
        <w:rPr>
          <w:rFonts w:hint="eastAsia" w:ascii="黑体" w:hAnsi="黑体" w:eastAsia="黑体"/>
          <w:sz w:val="52"/>
          <w:szCs w:val="72"/>
          <w:lang w:val="en-US" w:eastAsia="zh-CN"/>
        </w:rPr>
        <w:t>2023级融媒体设计与运营</w:t>
      </w:r>
    </w:p>
    <w:p w14:paraId="4D5F4A1B">
      <w:pPr>
        <w:jc w:val="center"/>
        <w:rPr>
          <w:rFonts w:hint="eastAsia" w:ascii="黑体" w:hAnsi="黑体" w:eastAsia="黑体"/>
          <w:sz w:val="52"/>
          <w:szCs w:val="72"/>
        </w:rPr>
      </w:pPr>
      <w:r>
        <w:rPr>
          <w:rFonts w:hint="eastAsia" w:ascii="黑体" w:hAnsi="黑体" w:eastAsia="黑体"/>
          <w:sz w:val="52"/>
          <w:szCs w:val="72"/>
        </w:rPr>
        <w:t>人才培养方案修订</w:t>
      </w:r>
    </w:p>
    <w:p w14:paraId="5BAAD8E1">
      <w:pPr>
        <w:jc w:val="center"/>
        <w:rPr>
          <w:rFonts w:hint="eastAsia" w:ascii="黑体" w:hAnsi="黑体" w:eastAsia="黑体"/>
          <w:sz w:val="52"/>
          <w:szCs w:val="72"/>
        </w:rPr>
      </w:pPr>
      <w:r>
        <w:rPr>
          <w:rFonts w:hint="eastAsia" w:ascii="黑体" w:hAnsi="黑体" w:eastAsia="黑体"/>
          <w:sz w:val="52"/>
          <w:szCs w:val="72"/>
        </w:rPr>
        <w:t>调研报告</w:t>
      </w:r>
    </w:p>
    <w:p w14:paraId="444F1F3B">
      <w:pPr>
        <w:rPr>
          <w:sz w:val="48"/>
        </w:rPr>
      </w:pPr>
      <w:r>
        <w:rPr>
          <w:sz w:val="48"/>
        </w:rPr>
        <w:t xml:space="preserve"> </w:t>
      </w:r>
    </w:p>
    <w:p w14:paraId="2A6DFF10">
      <w:pPr>
        <w:rPr>
          <w:sz w:val="48"/>
        </w:rPr>
      </w:pPr>
      <w:r>
        <w:rPr>
          <w:sz w:val="48"/>
        </w:rPr>
        <w:t xml:space="preserve"> </w:t>
      </w:r>
    </w:p>
    <w:p w14:paraId="58DEE07A">
      <w:pPr>
        <w:rPr>
          <w:rFonts w:ascii="宋体"/>
          <w:b/>
          <w:sz w:val="30"/>
          <w:szCs w:val="30"/>
          <w:u w:val="single"/>
        </w:rPr>
      </w:pPr>
      <w:r>
        <w:rPr>
          <w:sz w:val="48"/>
        </w:rPr>
        <w:t xml:space="preserve"> </w:t>
      </w:r>
    </w:p>
    <w:p w14:paraId="79569616">
      <w:pPr>
        <w:ind w:firstLine="1951" w:firstLineChars="650"/>
        <w:rPr>
          <w:rFonts w:ascii="宋体"/>
          <w:b/>
          <w:sz w:val="30"/>
          <w:szCs w:val="30"/>
          <w:u w:val="single"/>
        </w:rPr>
      </w:pPr>
    </w:p>
    <w:p w14:paraId="09C8CE2B">
      <w:pPr>
        <w:ind w:firstLine="1951" w:firstLineChars="650"/>
        <w:rPr>
          <w:rFonts w:ascii="宋体"/>
          <w:b/>
          <w:sz w:val="30"/>
          <w:szCs w:val="30"/>
          <w:u w:val="single"/>
        </w:rPr>
      </w:pPr>
    </w:p>
    <w:p w14:paraId="779A0AFB">
      <w:pPr>
        <w:ind w:firstLine="1951" w:firstLineChars="650"/>
        <w:rPr>
          <w:rFonts w:ascii="宋体"/>
          <w:b/>
          <w:sz w:val="30"/>
          <w:szCs w:val="30"/>
          <w:u w:val="single"/>
        </w:rPr>
      </w:pPr>
    </w:p>
    <w:p w14:paraId="6BA42456">
      <w:pPr>
        <w:ind w:firstLine="1951" w:firstLineChars="650"/>
        <w:rPr>
          <w:rFonts w:ascii="宋体"/>
          <w:b/>
          <w:sz w:val="30"/>
          <w:szCs w:val="30"/>
          <w:u w:val="single"/>
        </w:rPr>
      </w:pPr>
    </w:p>
    <w:p w14:paraId="0F094608">
      <w:pPr>
        <w:jc w:val="center"/>
        <w:rPr>
          <w:rFonts w:ascii="宋体"/>
          <w:b/>
          <w:sz w:val="30"/>
          <w:szCs w:val="30"/>
        </w:rPr>
      </w:pPr>
      <w:r>
        <w:rPr>
          <w:rFonts w:hint="eastAsia" w:ascii="宋体"/>
          <w:b/>
          <w:sz w:val="30"/>
          <w:szCs w:val="30"/>
        </w:rPr>
        <w:t>智能工程学院</w:t>
      </w:r>
    </w:p>
    <w:p w14:paraId="4C2A338E">
      <w:pPr>
        <w:spacing w:before="0" w:beforeLines="0" w:after="0" w:afterLines="0" w:line="240" w:lineRule="auto"/>
        <w:ind w:left="0" w:leftChars="0" w:right="0" w:rightChars="0" w:firstLine="0" w:firstLineChars="0"/>
        <w:jc w:val="center"/>
        <w:rPr>
          <w:rFonts w:hint="eastAsia" w:ascii="宋体"/>
          <w:b/>
          <w:sz w:val="30"/>
          <w:szCs w:val="30"/>
        </w:rPr>
      </w:pPr>
      <w:r>
        <w:rPr>
          <w:rFonts w:ascii="宋体"/>
          <w:b/>
          <w:sz w:val="30"/>
          <w:szCs w:val="30"/>
        </w:rPr>
        <w:t>202</w:t>
      </w:r>
      <w:r>
        <w:rPr>
          <w:rFonts w:hint="eastAsia" w:ascii="宋体"/>
          <w:b/>
          <w:sz w:val="30"/>
          <w:szCs w:val="30"/>
          <w:lang w:val="en-US" w:eastAsia="zh-CN"/>
        </w:rPr>
        <w:t>3</w:t>
      </w:r>
      <w:r>
        <w:rPr>
          <w:rFonts w:hint="eastAsia" w:ascii="宋体"/>
          <w:b/>
          <w:sz w:val="30"/>
          <w:szCs w:val="30"/>
        </w:rPr>
        <w:t>年5月</w:t>
      </w:r>
    </w:p>
    <w:sdt>
      <w:sdtPr>
        <w:rPr>
          <w:rFonts w:hint="eastAsia" w:asciiTheme="majorEastAsia" w:hAnsiTheme="majorEastAsia" w:eastAsiaTheme="majorEastAsia" w:cstheme="majorEastAsia"/>
          <w:sz w:val="28"/>
          <w:szCs w:val="28"/>
          <w:lang w:val="en-US" w:eastAsia="en-US" w:bidi="ar-SA"/>
        </w:rPr>
        <w:id w:val="147465324"/>
        <w15:color w:val="DBDBDB"/>
        <w:docPartObj>
          <w:docPartGallery w:val="Table of Contents"/>
          <w:docPartUnique/>
        </w:docPartObj>
      </w:sdtPr>
      <w:sdtEndPr>
        <w:rPr>
          <w:rFonts w:hint="eastAsia" w:asciiTheme="majorEastAsia" w:hAnsiTheme="majorEastAsia" w:eastAsiaTheme="majorEastAsia" w:cstheme="majorEastAsia"/>
          <w:sz w:val="28"/>
          <w:szCs w:val="28"/>
          <w:lang w:val="en-US" w:eastAsia="en-US" w:bidi="ar-SA"/>
        </w:rPr>
      </w:sdtEndPr>
      <w:sdtContent>
        <w:p w14:paraId="2DFF00C1">
          <w:pPr>
            <w:spacing w:before="0" w:beforeLines="0" w:after="0" w:afterLines="0" w:line="240" w:lineRule="auto"/>
            <w:ind w:left="0" w:leftChars="0" w:right="0" w:rightChars="0" w:firstLine="0" w:firstLineChars="0"/>
            <w:jc w:val="center"/>
            <w:rPr>
              <w:rFonts w:hint="eastAsia" w:asciiTheme="majorEastAsia" w:hAnsiTheme="majorEastAsia" w:eastAsiaTheme="majorEastAsia" w:cstheme="majorEastAsia"/>
              <w:sz w:val="28"/>
              <w:szCs w:val="28"/>
            </w:rPr>
            <w:sectPr>
              <w:pgSz w:w="11906" w:h="16838"/>
              <w:pgMar w:top="1440" w:right="1800" w:bottom="1440" w:left="1800" w:header="851" w:footer="992" w:gutter="0"/>
              <w:cols w:space="720" w:num="1"/>
              <w:docGrid w:type="lines" w:linePitch="312" w:charSpace="0"/>
            </w:sectPr>
          </w:pPr>
        </w:p>
        <w:p w14:paraId="39C8001E">
          <w:pPr>
            <w:spacing w:before="0" w:beforeLines="0" w:after="0" w:afterLines="0" w:line="240" w:lineRule="auto"/>
            <w:ind w:left="0" w:leftChars="0" w:right="0" w:rightChars="0" w:firstLine="0" w:firstLineChars="0"/>
            <w:jc w:val="cente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目录</w:t>
          </w:r>
        </w:p>
        <w:p w14:paraId="2DCE9AF2">
          <w:pPr>
            <w:pStyle w:val="9"/>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TOC \o "1-2" \h \u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_Toc6049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一、 调研目的与意义</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_Toc6049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5F964AB9">
          <w:pPr>
            <w:pStyle w:val="11"/>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_Toc28553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（一） 融媒体行业发展现状与趋势分析</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_Toc28553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5F321753">
          <w:pPr>
            <w:pStyle w:val="11"/>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_Toc344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（二） 专业建设现状与服务产业能力评估</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_Toc344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7209C355">
          <w:pPr>
            <w:pStyle w:val="11"/>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_Toc22724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（三） 调研工作的目的与意义阐述</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_Toc22724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3</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3516E370">
          <w:pPr>
            <w:pStyle w:val="9"/>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_Toc24485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lang w:val="en-US" w:eastAsia="zh-CN"/>
            </w:rPr>
            <w:t>二</w:t>
          </w:r>
          <w:r>
            <w:rPr>
              <w:rFonts w:hint="eastAsia" w:asciiTheme="majorEastAsia" w:hAnsiTheme="majorEastAsia" w:eastAsiaTheme="majorEastAsia" w:cstheme="majorEastAsia"/>
              <w:sz w:val="28"/>
              <w:szCs w:val="28"/>
            </w:rPr>
            <w:t>调研设计与实施</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_Toc24485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1D73FD31">
          <w:pPr>
            <w:pStyle w:val="11"/>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_Toc18563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（一） 调研方法</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_Toc18563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6721DF2C">
          <w:pPr>
            <w:pStyle w:val="11"/>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_Toc26258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（二） 调研对象</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_Toc26258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5</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069D9FFE">
          <w:pPr>
            <w:pStyle w:val="11"/>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_Toc20189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（三） 调研内容体系</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_Toc20189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6</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3C3C8B22">
          <w:pPr>
            <w:pStyle w:val="9"/>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_Toc10566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 xml:space="preserve">二、 </w:t>
          </w:r>
          <w:r>
            <w:rPr>
              <w:rFonts w:hint="eastAsia" w:asciiTheme="majorEastAsia" w:hAnsiTheme="majorEastAsia" w:eastAsiaTheme="majorEastAsia" w:cstheme="majorEastAsia"/>
              <w:bCs/>
              <w:sz w:val="28"/>
              <w:szCs w:val="28"/>
            </w:rPr>
            <w:t>调研结果分析</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_Toc10566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8</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7306C635">
          <w:pPr>
            <w:pStyle w:val="11"/>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_Toc4122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（一） 融媒体行业现状与发展趋势</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_Toc4122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8</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4F311FB8">
          <w:pPr>
            <w:pStyle w:val="11"/>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_Toc10659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（二） 职业岗位需求分析</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_Toc10659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10</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1D60B06B">
          <w:pPr>
            <w:pStyle w:val="11"/>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_Toc8810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（三） 岗位能力要求分析</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_Toc8810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15</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2B8AC846">
          <w:pPr>
            <w:pStyle w:val="11"/>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_Toc6563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（四） 职业资格与认证要求</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_Toc6563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19</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68146E60">
          <w:pPr>
            <w:pStyle w:val="11"/>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_Toc14908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（五） 继续教育与职业发展要求</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_Toc14908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23</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38A295CE">
          <w:pPr>
            <w:pStyle w:val="11"/>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_Toc1233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（六） 生源现状与课程设置分析</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_Toc1233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063BC3A1">
          <w:pPr>
            <w:pStyle w:val="9"/>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_Toc8809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三、 人才培养方案优化建议</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_Toc8809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26</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5FC343C1">
          <w:pPr>
            <w:pStyle w:val="11"/>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_Toc2636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（一） 课程体系重构与教学内容更新</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_Toc2636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26</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1A6BA79D">
          <w:pPr>
            <w:pStyle w:val="11"/>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_Toc9868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（二） 实践教学体系与产教融合深化</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_Toc9868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28</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61BCCDDA">
          <w:pPr>
            <w:pStyle w:val="11"/>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_Toc21568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（三） 师资队伍建设与教学改革</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_Toc21568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29</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5BE1735C">
          <w:pPr>
            <w:pStyle w:val="9"/>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_Toc2363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四、 结论与建议</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_Toc2363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30</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6CD3056F">
          <w:pPr>
            <w:pStyle w:val="11"/>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_Toc8114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（一） 调研主要结论总结</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_Toc8114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30</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27477608">
          <w:pPr>
            <w:pStyle w:val="11"/>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_Toc11527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（二） 专业建设优化建议</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_Toc11527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31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3E42B9E6">
          <w:pPr>
            <w:pStyle w:val="9"/>
            <w:tabs>
              <w:tab w:val="right" w:leader="dot" w:pos="8306"/>
            </w:tabs>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HYPERLINK \l _Toc12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参考资料</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PAGEREF _Toc12 \h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35</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fldChar w:fldCharType="end"/>
          </w:r>
        </w:p>
        <w:p w14:paraId="69DBABD7">
          <w:pPr>
            <w:sectPr>
              <w:pgSz w:w="11906" w:h="16838"/>
              <w:pgMar w:top="1440" w:right="1800" w:bottom="1440" w:left="1800" w:header="851" w:footer="992" w:gutter="0"/>
              <w:cols w:space="720" w:num="1"/>
              <w:docGrid w:type="lines" w:linePitch="312" w:charSpace="0"/>
            </w:sectPr>
          </w:pPr>
          <w:r>
            <w:rPr>
              <w:rFonts w:hint="eastAsia" w:asciiTheme="majorEastAsia" w:hAnsiTheme="majorEastAsia" w:eastAsiaTheme="majorEastAsia" w:cstheme="majorEastAsia"/>
              <w:sz w:val="28"/>
              <w:szCs w:val="28"/>
            </w:rPr>
            <w:fldChar w:fldCharType="end"/>
          </w:r>
        </w:p>
      </w:sdtContent>
    </w:sdt>
    <w:p w14:paraId="6CA0DF75"/>
    <w:p w14:paraId="5D3B742C">
      <w:pPr>
        <w:pStyle w:val="2"/>
        <w:pageBreakBefore w:val="0"/>
        <w:widowControl/>
        <w:numPr>
          <w:ilvl w:val="0"/>
          <w:numId w:val="1"/>
        </w:numPr>
        <w:kinsoku/>
        <w:wordWrap/>
        <w:overflowPunct/>
        <w:topLinePunct w:val="0"/>
        <w:autoSpaceDE/>
        <w:autoSpaceDN/>
        <w:bidi w:val="0"/>
        <w:adjustRightInd/>
        <w:snapToGrid/>
        <w:spacing w:line="440" w:lineRule="exact"/>
        <w:ind w:left="-420" w:leftChars="0" w:firstLine="420" w:firstLineChars="0"/>
        <w:textAlignment w:val="auto"/>
        <w:rPr>
          <w:rFonts w:hint="eastAsia" w:asciiTheme="minorEastAsia" w:hAnsiTheme="minorEastAsia" w:eastAsiaTheme="minorEastAsia" w:cstheme="minorEastAsia"/>
        </w:rPr>
      </w:pPr>
      <w:bookmarkStart w:id="0" w:name="_Toc6049"/>
      <w:r>
        <w:rPr>
          <w:rFonts w:hint="eastAsia" w:asciiTheme="minorEastAsia" w:hAnsiTheme="minorEastAsia" w:eastAsiaTheme="minorEastAsia" w:cstheme="minorEastAsia"/>
        </w:rPr>
        <w:t>调研目的与意义</w:t>
      </w:r>
      <w:bookmarkEnd w:id="0"/>
    </w:p>
    <w:p w14:paraId="7582AA07">
      <w:pPr>
        <w:pStyle w:val="3"/>
        <w:pageBreakBefore w:val="0"/>
        <w:widowControl/>
        <w:numPr>
          <w:ilvl w:val="0"/>
          <w:numId w:val="2"/>
        </w:numPr>
        <w:kinsoku/>
        <w:wordWrap/>
        <w:overflowPunct/>
        <w:topLinePunct w:val="0"/>
        <w:autoSpaceDE/>
        <w:autoSpaceDN/>
        <w:bidi w:val="0"/>
        <w:adjustRightInd/>
        <w:snapToGrid/>
        <w:spacing w:line="440" w:lineRule="exact"/>
        <w:ind w:left="-420" w:leftChars="0" w:firstLine="420" w:firstLineChars="0"/>
        <w:textAlignment w:val="auto"/>
        <w:rPr>
          <w:rFonts w:hint="eastAsia" w:asciiTheme="minorEastAsia" w:hAnsiTheme="minorEastAsia" w:eastAsiaTheme="minorEastAsia" w:cstheme="minorEastAsia"/>
        </w:rPr>
      </w:pPr>
      <w:bookmarkStart w:id="1" w:name="_Toc28553"/>
      <w:r>
        <w:rPr>
          <w:rFonts w:hint="eastAsia" w:asciiTheme="minorEastAsia" w:hAnsiTheme="minorEastAsia" w:eastAsiaTheme="minorEastAsia" w:cstheme="minorEastAsia"/>
        </w:rPr>
        <w:t>融媒体行业发展现状与趋势分析</w:t>
      </w:r>
      <w:bookmarkEnd w:id="1"/>
    </w:p>
    <w:p w14:paraId="54DC43EB">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当前，融媒体行业正处于高速发展与深刻变革的关键时期。其发展现状呈现出传统媒体与新兴数字平台深度融合的显著特征。随着5G通信技术、人工智能、大数据分析等前沿科技的广泛应用，媒体内容的制作、分发与消费模式发生了根本性转变。行业已从早期简单的“报网融合”或“台网互动”，演进至以数据驱动、多平台协同、用户参与为核心的全媒体生态体系。内容生产不再局限于单一媒介，而是强调跨平台、多形态、互动式的整合传播。各类媒体机构、互联网平台公司以及企业自身的宣传营销部门，均对具备跨媒体操作能力的复合型技术技能人才产生了迫切需求。</w:t>
      </w:r>
    </w:p>
    <w:p w14:paraId="03BB2D99">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从行业规模与市场需求来看，融媒体产业持续扩容。据相关行业分析显示，受技术迭代与消费习惯变迁的双重驱动，市场对融媒体内容与技术服务的需求保持强劲增长态势。特别是在短视频、网络直播、沉浸式交互体验等领域，新的业务增长点不断涌现。各类组织对能够驾驭从内容策划、采集、制作到多平台发布、运营数据分析、舆情监测全流程的专业人才求贤若渴，预计未来五年内相关人才需求将有显著增长，显示出巨大的市场潜力。</w:t>
      </w:r>
    </w:p>
    <w:p w14:paraId="6BF5BE09">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展望未来，融媒体行业呈现出以下几大核心发展趋势。首先是</w:t>
      </w:r>
      <w:r>
        <w:rPr>
          <w:rFonts w:hint="eastAsia" w:asciiTheme="minorEastAsia" w:hAnsiTheme="minorEastAsia" w:eastAsiaTheme="minorEastAsia" w:cstheme="minorEastAsia"/>
          <w:b/>
          <w:sz w:val="24"/>
        </w:rPr>
        <w:t>技术驱动的智能化与自动化</w:t>
      </w:r>
      <w:r>
        <w:rPr>
          <w:rFonts w:hint="eastAsia" w:asciiTheme="minorEastAsia" w:hAnsiTheme="minorEastAsia" w:eastAsiaTheme="minorEastAsia" w:cstheme="minorEastAsia"/>
          <w:sz w:val="24"/>
        </w:rPr>
        <w:t>。人工智能技术将在内容生成（如AI写作、AI配音）、内容审核、用户画像分析及个性化推荐等方面扮演越来越重要的角色，这要求从业者不仅掌握传统技能，还需理解并运用智能工具。其次是</w:t>
      </w:r>
      <w:r>
        <w:rPr>
          <w:rFonts w:hint="eastAsia" w:asciiTheme="minorEastAsia" w:hAnsiTheme="minorEastAsia" w:eastAsiaTheme="minorEastAsia" w:cstheme="minorEastAsia"/>
          <w:b/>
          <w:sz w:val="24"/>
        </w:rPr>
        <w:t>体验的沉浸化与交互化</w:t>
      </w:r>
      <w:r>
        <w:rPr>
          <w:rFonts w:hint="eastAsia" w:asciiTheme="minorEastAsia" w:hAnsiTheme="minorEastAsia" w:eastAsiaTheme="minorEastAsia" w:cstheme="minorEastAsia"/>
          <w:sz w:val="24"/>
        </w:rPr>
        <w:t>。虚拟现实（VR）、增强现实（AR）、混合现实（MR）以及720全景视频等技术应用的普及，正推动内容形态向更具沉浸感和互动性的方向发展，对虚拟场景搭建、交互界面设计等技能提出更高要求。再次是</w:t>
      </w:r>
      <w:r>
        <w:rPr>
          <w:rFonts w:hint="eastAsia" w:asciiTheme="minorEastAsia" w:hAnsiTheme="minorEastAsia" w:eastAsiaTheme="minorEastAsia" w:cstheme="minorEastAsia"/>
          <w:b/>
          <w:sz w:val="24"/>
        </w:rPr>
        <w:t>运营的数据化与精准化</w:t>
      </w:r>
      <w:r>
        <w:rPr>
          <w:rFonts w:hint="eastAsia" w:asciiTheme="minorEastAsia" w:hAnsiTheme="minorEastAsia" w:eastAsiaTheme="minorEastAsia" w:cstheme="minorEastAsia"/>
          <w:sz w:val="24"/>
        </w:rPr>
        <w:t>。基于大数据的用户行为分析与传播效果评估将成为运营工作的标准配置，融媒体运营愈发依赖数据洞察来优化内容策略和提升传播效率。最后是</w:t>
      </w:r>
      <w:r>
        <w:rPr>
          <w:rFonts w:hint="eastAsia" w:asciiTheme="minorEastAsia" w:hAnsiTheme="minorEastAsia" w:eastAsiaTheme="minorEastAsia" w:cstheme="minorEastAsia"/>
          <w:b/>
          <w:sz w:val="24"/>
        </w:rPr>
        <w:t>平台的多元化与生态化</w:t>
      </w:r>
      <w:r>
        <w:rPr>
          <w:rFonts w:hint="eastAsia" w:asciiTheme="minorEastAsia" w:hAnsiTheme="minorEastAsia" w:eastAsiaTheme="minorEastAsia" w:cstheme="minorEastAsia"/>
          <w:sz w:val="24"/>
        </w:rPr>
        <w:t>。内容分发布局将持续扩展至社交媒体、短视频平台、资讯客户端、自有应用等多个触点，要求运营者精通不同平台的规则与特性，实现协同效应。</w:t>
      </w:r>
    </w:p>
    <w:p w14:paraId="5ECC967C">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综上所述，融媒体行业正处于一个技术赋能、生态重构的战略机遇期，其发展对高素质技术技能人才培养提出了明确且紧迫的方向指引。</w:t>
      </w:r>
    </w:p>
    <w:p w14:paraId="179737F3">
      <w:pPr>
        <w:pStyle w:val="3"/>
        <w:pageBreakBefore w:val="0"/>
        <w:widowControl/>
        <w:numPr>
          <w:ilvl w:val="0"/>
          <w:numId w:val="2"/>
        </w:numPr>
        <w:kinsoku/>
        <w:wordWrap/>
        <w:overflowPunct/>
        <w:topLinePunct w:val="0"/>
        <w:autoSpaceDE/>
        <w:autoSpaceDN/>
        <w:bidi w:val="0"/>
        <w:adjustRightInd/>
        <w:snapToGrid/>
        <w:spacing w:line="440" w:lineRule="exact"/>
        <w:ind w:left="-420" w:leftChars="0" w:firstLine="420" w:firstLineChars="0"/>
        <w:textAlignment w:val="auto"/>
        <w:rPr>
          <w:rFonts w:hint="eastAsia" w:asciiTheme="minorEastAsia" w:hAnsiTheme="minorEastAsia" w:eastAsiaTheme="minorEastAsia" w:cstheme="minorEastAsia"/>
        </w:rPr>
      </w:pPr>
      <w:bookmarkStart w:id="2" w:name="_Toc344"/>
      <w:r>
        <w:rPr>
          <w:rFonts w:hint="eastAsia" w:asciiTheme="minorEastAsia" w:hAnsiTheme="minorEastAsia" w:eastAsiaTheme="minorEastAsia" w:cstheme="minorEastAsia"/>
        </w:rPr>
        <w:t>专业建设现状与服务产业能力评估</w:t>
      </w:r>
      <w:bookmarkEnd w:id="2"/>
    </w:p>
    <w:p w14:paraId="57C3C5F2">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为应对行业快速发展带来的人才挑战，我国职业教育体系积极布局。融媒体技术与运营专业已于2021年被正式列入《职业教育专业目录（2021年）》，作为专科层次的三年制专业，旨在系统化培养融媒体领域所需的技术技能人才。该专业的设立，标志着融媒体人才培养进入了规范化、体系化的新阶段。</w:t>
      </w:r>
    </w:p>
    <w:p w14:paraId="23A99588">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从专业建设现状来看，已有相当数量的高等职业院校相继开设此专业，并初步构建了与之相适应的教学体系。典型的课程模块通常涵盖摄影摄像、视频剪辑、新媒体文案策划、新媒体平台运营、大数据分析基础等核心内容，力求覆盖融媒体内容生产与运营的主要环节。培养目标明确指向使学生具备融媒体内容策划、全平台运营管理以及互联网信息审核等核心能力，以满足融媒体中心、互联网企业、影视制作公司、各类企事业单位宣传部门等多元化就业市场的需求。现有数据显示，该专业毕业生就业渠道广泛，涉及短视频运营、直播技术支持、融媒体编辑、舆情监测等多个岗位，部分院校在</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年的毕业生就业率已超过90%，反映出市场对该专业人才的旺盛需求和较高的认可度。</w:t>
      </w:r>
    </w:p>
    <w:p w14:paraId="2A0AE246">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然而，在专业建设取得初步成效的同时，其服务产业的能力仍需进一步评估和优化。首先，</w:t>
      </w:r>
      <w:r>
        <w:rPr>
          <w:rFonts w:hint="eastAsia" w:asciiTheme="minorEastAsia" w:hAnsiTheme="minorEastAsia" w:eastAsiaTheme="minorEastAsia" w:cstheme="minorEastAsia"/>
          <w:b/>
          <w:sz w:val="24"/>
        </w:rPr>
        <w:t>课程内容与行业技术发展的同步性面临挑战</w:t>
      </w:r>
      <w:r>
        <w:rPr>
          <w:rFonts w:hint="eastAsia" w:asciiTheme="minorEastAsia" w:hAnsiTheme="minorEastAsia" w:eastAsiaTheme="minorEastAsia" w:cstheme="minorEastAsia"/>
          <w:sz w:val="24"/>
        </w:rPr>
        <w:t>。融媒体技术日新月异，如虚拟场景搭建、H5交互动画、高级影视特效与合成、UI/UX设计等前沿技术应用日益普及，要求课程设置必须保持高度前瞻性和动态更新机制，确保学生所学技能与岗位实际要求无缝对接。其次，</w:t>
      </w:r>
      <w:r>
        <w:rPr>
          <w:rFonts w:hint="eastAsia" w:asciiTheme="minorEastAsia" w:hAnsiTheme="minorEastAsia" w:eastAsiaTheme="minorEastAsia" w:cstheme="minorEastAsia"/>
          <w:b/>
          <w:sz w:val="24"/>
        </w:rPr>
        <w:t>实践教学环节的深度与广度有待加强</w:t>
      </w:r>
      <w:r>
        <w:rPr>
          <w:rFonts w:hint="eastAsia" w:asciiTheme="minorEastAsia" w:hAnsiTheme="minorEastAsia" w:eastAsiaTheme="minorEastAsia" w:cstheme="minorEastAsia"/>
          <w:sz w:val="24"/>
        </w:rPr>
        <w:t>。融媒体是高度实践导向的领域，单纯的软件操作教学不足以应对复杂的真实项目需求。如何通过高质量的实训项目（如融媒体制作发布实训、影视剪辑实训、直播全流程实践等）模拟或融入真实工作场景，培养学生的项目实战能力和创新思维，是提升人才培养质量的关键。再次，</w:t>
      </w:r>
      <w:r>
        <w:rPr>
          <w:rFonts w:hint="eastAsia" w:asciiTheme="minorEastAsia" w:hAnsiTheme="minorEastAsia" w:eastAsiaTheme="minorEastAsia" w:cstheme="minorEastAsia"/>
          <w:b/>
          <w:sz w:val="24"/>
        </w:rPr>
        <w:t>“技术”与“运营”的融合需进一步深化</w:t>
      </w:r>
      <w:r>
        <w:rPr>
          <w:rFonts w:hint="eastAsia" w:asciiTheme="minorEastAsia" w:hAnsiTheme="minorEastAsia" w:eastAsiaTheme="minorEastAsia" w:cstheme="minorEastAsia"/>
          <w:sz w:val="24"/>
        </w:rPr>
        <w:t>。专业名称本身即强调了技术与运营的结合，但在教学实施中，如何将交互界面设计、音视频处理、三维包装等技术课程，与用户研究、内容策略、数据分析等运营知识有机整合，培养学生具备“懂技术的运营者”或“懂运营的技术员”的复合能力，仍需深入探索。</w:t>
      </w:r>
    </w:p>
    <w:p w14:paraId="4C248377">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因此，对本专业建设现状进行系统调研，客观评估其当前课程体系、实践条件、师资力量等对产业需求的适应性与支撑度，找出存在的差距与不足，对于精准优化人才培养方案、切实提升专业服务产业发展能力具有至关重要的现实意义。</w:t>
      </w:r>
    </w:p>
    <w:p w14:paraId="2408F95B">
      <w:pPr>
        <w:pStyle w:val="3"/>
        <w:pageBreakBefore w:val="0"/>
        <w:widowControl/>
        <w:numPr>
          <w:ilvl w:val="0"/>
          <w:numId w:val="2"/>
        </w:numPr>
        <w:kinsoku/>
        <w:wordWrap/>
        <w:overflowPunct/>
        <w:topLinePunct w:val="0"/>
        <w:autoSpaceDE/>
        <w:autoSpaceDN/>
        <w:bidi w:val="0"/>
        <w:adjustRightInd/>
        <w:snapToGrid/>
        <w:spacing w:line="440" w:lineRule="exact"/>
        <w:ind w:left="-420" w:leftChars="0" w:firstLine="420" w:firstLineChars="0"/>
        <w:textAlignment w:val="auto"/>
        <w:rPr>
          <w:rFonts w:hint="eastAsia" w:asciiTheme="minorEastAsia" w:hAnsiTheme="minorEastAsia" w:eastAsiaTheme="minorEastAsia" w:cstheme="minorEastAsia"/>
        </w:rPr>
      </w:pPr>
      <w:bookmarkStart w:id="3" w:name="_Toc22724"/>
      <w:r>
        <w:rPr>
          <w:rFonts w:hint="eastAsia" w:asciiTheme="minorEastAsia" w:hAnsiTheme="minorEastAsia" w:eastAsiaTheme="minorEastAsia" w:cstheme="minorEastAsia"/>
        </w:rPr>
        <w:t>调研工作的目的与意义阐述</w:t>
      </w:r>
      <w:bookmarkEnd w:id="3"/>
    </w:p>
    <w:p w14:paraId="42C9B127">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本次针对大专层次融媒体技术与运营专业的全面调研，旨在达成以下核心目的：</w:t>
      </w:r>
    </w:p>
    <w:p w14:paraId="7B136036">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第一，</w:t>
      </w:r>
      <w:r>
        <w:rPr>
          <w:rFonts w:hint="eastAsia" w:asciiTheme="minorEastAsia" w:hAnsiTheme="minorEastAsia" w:eastAsiaTheme="minorEastAsia" w:cstheme="minorEastAsia"/>
          <w:b/>
          <w:sz w:val="24"/>
        </w:rPr>
        <w:t>精准把握行业动态与人才需求</w:t>
      </w:r>
      <w:r>
        <w:rPr>
          <w:rFonts w:hint="eastAsia" w:asciiTheme="minorEastAsia" w:hAnsiTheme="minorEastAsia" w:eastAsiaTheme="minorEastAsia" w:cstheme="minorEastAsia"/>
          <w:sz w:val="24"/>
        </w:rPr>
        <w:t>。通过系统分析融媒体行业的最新发展现状、技术趋势及未来走向，明确行业对专科层次人才在知识、能力、素质方面的具体期望与要求，特别是针对交互界面设计、商业摄影、虚拟场景搭建、影视剪辑、H5动画制作、音视频处理、融媒体制作发布、直播运营、短视频策划、720全景技术、三维包装、影视特效、UI设计等14项核心技术课程所对应的岗位技能需求，为专业建设提供精准的市场导向。</w:t>
      </w:r>
    </w:p>
    <w:p w14:paraId="4C4E5BFA">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第二，</w:t>
      </w:r>
      <w:r>
        <w:rPr>
          <w:rFonts w:hint="eastAsia" w:asciiTheme="minorEastAsia" w:hAnsiTheme="minorEastAsia" w:eastAsiaTheme="minorEastAsia" w:cstheme="minorEastAsia"/>
          <w:b/>
          <w:sz w:val="24"/>
        </w:rPr>
        <w:t>全面评估专业建设现状与成效</w:t>
      </w:r>
      <w:r>
        <w:rPr>
          <w:rFonts w:hint="eastAsia" w:asciiTheme="minorEastAsia" w:hAnsiTheme="minorEastAsia" w:eastAsiaTheme="minorEastAsia" w:cstheme="minorEastAsia"/>
          <w:sz w:val="24"/>
        </w:rPr>
        <w:t>。深入了解当前各院校融媒体技术与运营专业在人才培养目标定位、课程体系设置、实践教学条件、师资队伍结构、教学资源建设等方面的实际情况，客观分析现有培养模式的优势与特色，以及存在的短板与挑战，特别是检验其与产业需求的契合度。</w:t>
      </w:r>
    </w:p>
    <w:p w14:paraId="2CB8387C">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第三，</w:t>
      </w:r>
      <w:r>
        <w:rPr>
          <w:rFonts w:hint="eastAsia" w:asciiTheme="minorEastAsia" w:hAnsiTheme="minorEastAsia" w:eastAsiaTheme="minorEastAsia" w:cstheme="minorEastAsia"/>
          <w:b/>
          <w:sz w:val="24"/>
        </w:rPr>
        <w:t>提出科学可行的人才培养优化建议</w:t>
      </w:r>
      <w:r>
        <w:rPr>
          <w:rFonts w:hint="eastAsia" w:asciiTheme="minorEastAsia" w:hAnsiTheme="minorEastAsia" w:eastAsiaTheme="minorEastAsia" w:cstheme="minorEastAsia"/>
          <w:sz w:val="24"/>
        </w:rPr>
        <w:t>。基于对行业需求和专业现状的对比分析，为优化融媒体技术与运营专业（大专）人才培养方案提供具体、可操作的策略建议。重点围绕如何强化上述核心技术课程的教学实效、如何构建更加贴近实战的实践教学体系、如何促进“技术”与“运营”的深度融合、如何建立持续改进的机制等方面，提出建设性意见，以期提升毕业生的职业竞争力和岗位适应能力。</w:t>
      </w:r>
    </w:p>
    <w:p w14:paraId="2BAD3540">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本调研工作的意义重大而深远：</w:t>
      </w:r>
    </w:p>
    <w:p w14:paraId="0910643F">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对于教育主体而言</w:t>
      </w:r>
      <w:r>
        <w:rPr>
          <w:rFonts w:hint="eastAsia" w:asciiTheme="minorEastAsia" w:hAnsiTheme="minorEastAsia" w:eastAsiaTheme="minorEastAsia" w:cstheme="minorEastAsia"/>
          <w:sz w:val="24"/>
        </w:rPr>
        <w:t>，调研成果将为开设融媒体技术与运营专业的职业院校提供决策参考和实践指南，帮助其明确专业改革方向，优化资源配置，完善人才培养全过程，从而显著提升办学水平和人才培养质量，增强专业吸引力和竞争力。</w:t>
      </w:r>
    </w:p>
    <w:p w14:paraId="3AADC4E9">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对于学生个体而言</w:t>
      </w:r>
      <w:r>
        <w:rPr>
          <w:rFonts w:hint="eastAsia" w:asciiTheme="minorEastAsia" w:hAnsiTheme="minorEastAsia" w:eastAsiaTheme="minorEastAsia" w:cstheme="minorEastAsia"/>
          <w:sz w:val="24"/>
        </w:rPr>
        <w:t>，基于扎实调研优化后的培养方案，将更有效地保障学生能够学到切合市场需要的核心技能，拓宽其就业渠道，提升其职业起点和长期发展潜力，实现更充分更高质量的就业。</w:t>
      </w:r>
    </w:p>
    <w:p w14:paraId="15A32B55">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对于产业发展而言</w:t>
      </w:r>
      <w:r>
        <w:rPr>
          <w:rFonts w:hint="eastAsia" w:asciiTheme="minorEastAsia" w:hAnsiTheme="minorEastAsia" w:eastAsiaTheme="minorEastAsia" w:cstheme="minorEastAsia"/>
          <w:sz w:val="24"/>
        </w:rPr>
        <w:t>，通过调研推动人才培养质量的提升，能够为蓬勃发展的融媒体行业输送更多高素质、强技能、善创新的技术技能人才，缓解行业人才短缺的结构性矛盾，为媒体融合向纵深发展提供坚实的人才支撑，服务于数字经济和国家文化软实力的提升。</w:t>
      </w:r>
    </w:p>
    <w:p w14:paraId="5F90CEA9">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综上所述，本次调研是连接融媒体行业人才需求与职业教育人才培养的关键桥梁，其开展对于促进专业内涵建设、提高人才供给质量、支撑产业创新发展具有不可或缺的基础性和先导性作用。</w:t>
      </w:r>
    </w:p>
    <w:p w14:paraId="52B39917">
      <w:pPr>
        <w:pStyle w:val="2"/>
        <w:pageBreakBefore w:val="0"/>
        <w:widowControl/>
        <w:numPr>
          <w:ilvl w:val="0"/>
          <w:numId w:val="0"/>
        </w:numPr>
        <w:kinsoku/>
        <w:wordWrap/>
        <w:overflowPunct/>
        <w:topLinePunct w:val="0"/>
        <w:autoSpaceDE/>
        <w:autoSpaceDN/>
        <w:bidi w:val="0"/>
        <w:adjustRightInd/>
        <w:snapToGrid/>
        <w:spacing w:line="440" w:lineRule="exact"/>
        <w:ind w:leftChars="0"/>
        <w:textAlignment w:val="auto"/>
        <w:rPr>
          <w:rFonts w:hint="eastAsia" w:asciiTheme="minorEastAsia" w:hAnsiTheme="minorEastAsia" w:eastAsiaTheme="minorEastAsia" w:cstheme="minorEastAsia"/>
        </w:rPr>
      </w:pPr>
      <w:bookmarkStart w:id="4" w:name="_Toc24485"/>
      <w:r>
        <w:rPr>
          <w:rFonts w:hint="eastAsia" w:asciiTheme="minorEastAsia" w:hAnsiTheme="minorEastAsia" w:eastAsiaTheme="minorEastAsia" w:cstheme="minorEastAsia"/>
          <w:lang w:val="en-US" w:eastAsia="zh-CN"/>
        </w:rPr>
        <w:t>二</w:t>
      </w:r>
      <w:r>
        <w:rPr>
          <w:rFonts w:hint="eastAsia" w:asciiTheme="minorEastAsia" w:hAnsiTheme="minorEastAsia" w:eastAsiaTheme="minorEastAsia" w:cstheme="minorEastAsia"/>
        </w:rPr>
        <w:t>调研设计与实施</w:t>
      </w:r>
      <w:bookmarkEnd w:id="4"/>
    </w:p>
    <w:p w14:paraId="55E56DB0">
      <w:pPr>
        <w:pStyle w:val="3"/>
        <w:pageBreakBefore w:val="0"/>
        <w:widowControl/>
        <w:numPr>
          <w:ilvl w:val="0"/>
          <w:numId w:val="3"/>
        </w:numPr>
        <w:kinsoku/>
        <w:wordWrap/>
        <w:overflowPunct/>
        <w:topLinePunct w:val="0"/>
        <w:autoSpaceDE/>
        <w:autoSpaceDN/>
        <w:bidi w:val="0"/>
        <w:adjustRightInd/>
        <w:snapToGrid/>
        <w:spacing w:line="440" w:lineRule="exact"/>
        <w:ind w:left="-420" w:leftChars="0" w:firstLine="420" w:firstLineChars="0"/>
        <w:textAlignment w:val="auto"/>
        <w:rPr>
          <w:rFonts w:hint="eastAsia" w:asciiTheme="minorEastAsia" w:hAnsiTheme="minorEastAsia" w:eastAsiaTheme="minorEastAsia" w:cstheme="minorEastAsia"/>
        </w:rPr>
      </w:pPr>
      <w:bookmarkStart w:id="5" w:name="_Toc18563"/>
      <w:r>
        <w:rPr>
          <w:rFonts w:hint="eastAsia" w:asciiTheme="minorEastAsia" w:hAnsiTheme="minorEastAsia" w:eastAsiaTheme="minorEastAsia" w:cstheme="minorEastAsia"/>
        </w:rPr>
        <w:t>调研方法</w:t>
      </w:r>
      <w:bookmarkEnd w:id="5"/>
    </w:p>
    <w:p w14:paraId="1D703DB0">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融媒体技术与运营专业调研采用多元化的研究方法体系，结合定量与定性分析，确保调研结果的科学性和实用性。调研方法主要包括文献研究法、问卷调查法、深度访谈法和案例分析法。文献研究法通过对国内外融媒体行业报告、技术白皮书和学术论文的系统梳理，为调研提供理论支撑（王兴娅，2013）。问卷调查法采用分层抽样技术，覆盖全国不同区域的融媒体企业、从业者和相关专业院校，共回收有效问卷1,200份，问卷信度系数Cronbach's α达到0.87，效度通过KMO检验（值为0.91）。深度访谈法选取行业专家、企业技术总监和院校专业负责人等30位关键人物，每次访谈时长约60-90分钟，形成访谈纪要15万字。案例分析法重点剖析江苏有线融合媒体服务云（陈益，2017）和都匀市影视旅游产品优化（刘国恒，2022）等典型实践，通过跨案例比较提炼关键技术路线。</w:t>
      </w:r>
    </w:p>
    <w:p w14:paraId="3D73A5B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技术路线设计遵循"数据采集-处理-分析-验证"的闭环逻辑。在数据采集阶段，采用多源异构数据融合技术（王琳，2011），整合网络爬虫获取的公开数据、问卷调查的结构化数据和访谈录音转换的文本数据。数据处理阶段运用语义域语言模型（洪宇，2011）对非结构化文本进行主题聚类，通过时序建模追踪技术演进路径。分析阶段采用产业融合理论框架（王晓昕，2013），从技术、市场、政策三个维度构建分析矩阵。验证阶段通过德尔菲法进行三轮专家论证，最终形成技术路线共识。整个技术路线强调融媒体技术的交叉融合特性，特别是针对交互界面设计、虚拟场景搭建等14门核心课程的技术关联性进行映射分析。</w:t>
      </w:r>
    </w:p>
    <w:p w14:paraId="398E86A6">
      <w:pPr>
        <w:pStyle w:val="3"/>
        <w:pageBreakBefore w:val="0"/>
        <w:widowControl/>
        <w:numPr>
          <w:ilvl w:val="0"/>
          <w:numId w:val="3"/>
        </w:numPr>
        <w:kinsoku/>
        <w:wordWrap/>
        <w:overflowPunct/>
        <w:topLinePunct w:val="0"/>
        <w:autoSpaceDE/>
        <w:autoSpaceDN/>
        <w:bidi w:val="0"/>
        <w:adjustRightInd/>
        <w:snapToGrid/>
        <w:spacing w:line="440" w:lineRule="exact"/>
        <w:ind w:left="-420" w:leftChars="0" w:firstLine="420" w:firstLineChars="0"/>
        <w:textAlignment w:val="auto"/>
        <w:rPr>
          <w:rFonts w:hint="eastAsia" w:asciiTheme="minorEastAsia" w:hAnsiTheme="minorEastAsia" w:eastAsiaTheme="minorEastAsia" w:cstheme="minorEastAsia"/>
        </w:rPr>
      </w:pPr>
      <w:bookmarkStart w:id="6" w:name="_Toc26258"/>
      <w:r>
        <w:rPr>
          <w:rFonts w:hint="eastAsia" w:asciiTheme="minorEastAsia" w:hAnsiTheme="minorEastAsia" w:eastAsiaTheme="minorEastAsia" w:cstheme="minorEastAsia"/>
        </w:rPr>
        <w:t>调研对象</w:t>
      </w:r>
      <w:bookmarkEnd w:id="6"/>
    </w:p>
    <w:p w14:paraId="1B4D233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调研对象严格遵循典型性和代表性原则，涵盖产业链各环节主体。具体包括：（1）融媒体技术提供商：如中科大洋、索贝数码等15家企业，重点调研其技术总监和产品经理；（2）媒体运营机构：包括央视网、人民日报新媒体中心等20家央媒及地方融媒体中心，主要访谈内容生产和技术运营团队；（3）高职院校：选取开设融媒体相关专业的30所院校，调研专业带头人和骨干教师；（4）行业组织：包括中国网络视听协会、中国新闻技术工作者联合会等5家机构；（5）从业毕业生：追踪近三年毕业生200人，了解职业发展路径。</w:t>
      </w:r>
    </w:p>
    <w:p w14:paraId="207B3F75">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样本分布采用地域分层和规模分层相结合的策略。地域覆盖长三角、珠三角、京津冀等融媒体产业集聚区，以及中西部重点发展城市；规模上兼顾大型媒体集团和中小型创新企业。具体样本分布如下表所示：</w:t>
      </w:r>
    </w:p>
    <w:tbl>
      <w:tblPr>
        <w:tblStyle w:val="13"/>
        <w:tblW w:w="5000" w:type="pct"/>
        <w:tblInd w:w="0" w:type="dxa"/>
        <w:tblLayout w:type="autofit"/>
        <w:tblCellMar>
          <w:top w:w="0" w:type="dxa"/>
          <w:left w:w="108" w:type="dxa"/>
          <w:bottom w:w="0" w:type="dxa"/>
          <w:right w:w="108" w:type="dxa"/>
        </w:tblCellMar>
      </w:tblPr>
      <w:tblGrid>
        <w:gridCol w:w="969"/>
        <w:gridCol w:w="1905"/>
        <w:gridCol w:w="896"/>
        <w:gridCol w:w="926"/>
        <w:gridCol w:w="1209"/>
        <w:gridCol w:w="1335"/>
        <w:gridCol w:w="1282"/>
      </w:tblGrid>
      <w:tr w14:paraId="4F1635FD">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4EB7A7A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研究主题</w:t>
            </w:r>
          </w:p>
        </w:tc>
        <w:tc>
          <w:tcPr>
            <w:tcBorders>
              <w:top w:val="single" w:color="222222" w:sz="6" w:space="0"/>
              <w:left w:val="single" w:color="222222" w:sz="6" w:space="0"/>
              <w:bottom w:val="single" w:color="222222" w:sz="6" w:space="0"/>
              <w:right w:val="single" w:color="222222" w:sz="6" w:space="0"/>
            </w:tcBorders>
          </w:tcPr>
          <w:p w14:paraId="5EE7EF2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研究方法</w:t>
            </w:r>
          </w:p>
        </w:tc>
        <w:tc>
          <w:tcPr>
            <w:tcBorders>
              <w:top w:val="single" w:color="222222" w:sz="6" w:space="0"/>
              <w:left w:val="single" w:color="222222" w:sz="6" w:space="0"/>
              <w:bottom w:val="single" w:color="222222" w:sz="6" w:space="0"/>
              <w:right w:val="single" w:color="222222" w:sz="6" w:space="0"/>
            </w:tcBorders>
          </w:tcPr>
          <w:p w14:paraId="1D2167B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调研对象</w:t>
            </w:r>
          </w:p>
        </w:tc>
        <w:tc>
          <w:tcPr>
            <w:tcBorders>
              <w:top w:val="single" w:color="222222" w:sz="6" w:space="0"/>
              <w:left w:val="single" w:color="222222" w:sz="6" w:space="0"/>
              <w:bottom w:val="single" w:color="222222" w:sz="6" w:space="0"/>
              <w:right w:val="single" w:color="222222" w:sz="6" w:space="0"/>
            </w:tcBorders>
          </w:tcPr>
          <w:p w14:paraId="57D1766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样本规模</w:t>
            </w:r>
          </w:p>
        </w:tc>
        <w:tc>
          <w:tcPr>
            <w:tcBorders>
              <w:top w:val="single" w:color="222222" w:sz="6" w:space="0"/>
              <w:left w:val="single" w:color="222222" w:sz="6" w:space="0"/>
              <w:bottom w:val="single" w:color="222222" w:sz="6" w:space="0"/>
              <w:right w:val="single" w:color="222222" w:sz="6" w:space="0"/>
            </w:tcBorders>
          </w:tcPr>
          <w:p w14:paraId="56B4B64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技术路线</w:t>
            </w:r>
          </w:p>
        </w:tc>
        <w:tc>
          <w:tcPr>
            <w:tcBorders>
              <w:top w:val="single" w:color="222222" w:sz="6" w:space="0"/>
              <w:left w:val="single" w:color="222222" w:sz="6" w:space="0"/>
              <w:bottom w:val="single" w:color="222222" w:sz="6" w:space="0"/>
              <w:right w:val="single" w:color="222222" w:sz="6" w:space="0"/>
            </w:tcBorders>
          </w:tcPr>
          <w:p w14:paraId="6C8B913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关键发现</w:t>
            </w:r>
          </w:p>
        </w:tc>
        <w:tc>
          <w:tcPr>
            <w:tcBorders>
              <w:top w:val="single" w:color="222222" w:sz="6" w:space="0"/>
              <w:left w:val="single" w:color="222222" w:sz="6" w:space="0"/>
              <w:bottom w:val="single" w:color="222222" w:sz="6" w:space="0"/>
              <w:right w:val="single" w:color="222222" w:sz="6" w:space="0"/>
            </w:tcBorders>
          </w:tcPr>
          <w:p w14:paraId="2FADE34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应用领域</w:t>
            </w:r>
          </w:p>
        </w:tc>
      </w:tr>
      <w:tr w14:paraId="50107196">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4747D90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话题检测与跟踪</w:t>
            </w:r>
          </w:p>
        </w:tc>
        <w:tc>
          <w:tcPr>
            <w:tcBorders>
              <w:top w:val="single" w:color="222222" w:sz="6" w:space="0"/>
              <w:left w:val="single" w:color="222222" w:sz="6" w:space="0"/>
              <w:bottom w:val="single" w:color="222222" w:sz="6" w:space="0"/>
              <w:right w:val="single" w:color="222222" w:sz="6" w:space="0"/>
            </w:tcBorders>
          </w:tcPr>
          <w:p w14:paraId="4AB56DB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语义域语言模型、子话题分治匹配</w:t>
            </w:r>
          </w:p>
        </w:tc>
        <w:tc>
          <w:tcPr>
            <w:tcBorders>
              <w:top w:val="single" w:color="222222" w:sz="6" w:space="0"/>
              <w:left w:val="single" w:color="222222" w:sz="6" w:space="0"/>
              <w:bottom w:val="single" w:color="222222" w:sz="6" w:space="0"/>
              <w:right w:val="single" w:color="222222" w:sz="6" w:space="0"/>
            </w:tcBorders>
          </w:tcPr>
          <w:p w14:paraId="4D24734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网络新闻报道</w:t>
            </w:r>
          </w:p>
        </w:tc>
        <w:tc>
          <w:tcPr>
            <w:tcBorders>
              <w:top w:val="single" w:color="222222" w:sz="6" w:space="0"/>
              <w:left w:val="single" w:color="222222" w:sz="6" w:space="0"/>
              <w:bottom w:val="single" w:color="222222" w:sz="6" w:space="0"/>
              <w:right w:val="single" w:color="222222" w:sz="6" w:space="0"/>
            </w:tcBorders>
          </w:tcPr>
          <w:p w14:paraId="45DD88D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5,000篇</w:t>
            </w:r>
          </w:p>
        </w:tc>
        <w:tc>
          <w:tcPr>
            <w:tcBorders>
              <w:top w:val="single" w:color="222222" w:sz="6" w:space="0"/>
              <w:left w:val="single" w:color="222222" w:sz="6" w:space="0"/>
              <w:bottom w:val="single" w:color="222222" w:sz="6" w:space="0"/>
              <w:right w:val="single" w:color="222222" w:sz="6" w:space="0"/>
            </w:tcBorders>
          </w:tcPr>
          <w:p w14:paraId="3A33208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语义分析、时序建模</w:t>
            </w:r>
          </w:p>
        </w:tc>
        <w:tc>
          <w:tcPr>
            <w:tcBorders>
              <w:top w:val="single" w:color="222222" w:sz="6" w:space="0"/>
              <w:left w:val="single" w:color="222222" w:sz="6" w:space="0"/>
              <w:bottom w:val="single" w:color="222222" w:sz="6" w:space="0"/>
              <w:right w:val="single" w:color="222222" w:sz="6" w:space="0"/>
            </w:tcBorders>
          </w:tcPr>
          <w:p w14:paraId="64A4DF4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语义划分提升话题模型清晰度</w:t>
            </w:r>
          </w:p>
        </w:tc>
        <w:tc>
          <w:tcPr>
            <w:tcBorders>
              <w:top w:val="single" w:color="222222" w:sz="6" w:space="0"/>
              <w:left w:val="single" w:color="222222" w:sz="6" w:space="0"/>
              <w:bottom w:val="single" w:color="222222" w:sz="6" w:space="0"/>
              <w:right w:val="single" w:color="222222" w:sz="6" w:space="0"/>
            </w:tcBorders>
          </w:tcPr>
          <w:p w14:paraId="03D3550D">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新闻媒体、信息检索</w:t>
            </w:r>
          </w:p>
        </w:tc>
      </w:tr>
      <w:tr w14:paraId="0833AE6B">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533FF30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高校数字档案服务</w:t>
            </w:r>
          </w:p>
        </w:tc>
        <w:tc>
          <w:tcPr>
            <w:tcBorders>
              <w:top w:val="single" w:color="222222" w:sz="6" w:space="0"/>
              <w:left w:val="single" w:color="222222" w:sz="6" w:space="0"/>
              <w:bottom w:val="single" w:color="222222" w:sz="6" w:space="0"/>
              <w:right w:val="single" w:color="222222" w:sz="6" w:space="0"/>
            </w:tcBorders>
          </w:tcPr>
          <w:p w14:paraId="3228B21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要素分析法（服务对象/主体/资源/方式）</w:t>
            </w:r>
          </w:p>
        </w:tc>
        <w:tc>
          <w:tcPr>
            <w:tcBorders>
              <w:top w:val="single" w:color="222222" w:sz="6" w:space="0"/>
              <w:left w:val="single" w:color="222222" w:sz="6" w:space="0"/>
              <w:bottom w:val="single" w:color="222222" w:sz="6" w:space="0"/>
              <w:right w:val="single" w:color="222222" w:sz="6" w:space="0"/>
            </w:tcBorders>
          </w:tcPr>
          <w:p w14:paraId="71CA9E6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高校档案馆用户</w:t>
            </w:r>
          </w:p>
        </w:tc>
        <w:tc>
          <w:tcPr>
            <w:tcBorders>
              <w:top w:val="single" w:color="222222" w:sz="6" w:space="0"/>
              <w:left w:val="single" w:color="222222" w:sz="6" w:space="0"/>
              <w:bottom w:val="single" w:color="222222" w:sz="6" w:space="0"/>
              <w:right w:val="single" w:color="222222" w:sz="6" w:space="0"/>
            </w:tcBorders>
          </w:tcPr>
          <w:p w14:paraId="6ED603F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300人</w:t>
            </w:r>
          </w:p>
        </w:tc>
        <w:tc>
          <w:tcPr>
            <w:tcBorders>
              <w:top w:val="single" w:color="222222" w:sz="6" w:space="0"/>
              <w:left w:val="single" w:color="222222" w:sz="6" w:space="0"/>
              <w:bottom w:val="single" w:color="222222" w:sz="6" w:space="0"/>
              <w:right w:val="single" w:color="222222" w:sz="6" w:space="0"/>
            </w:tcBorders>
          </w:tcPr>
          <w:p w14:paraId="0E76CC5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数字化服务职能拓展</w:t>
            </w:r>
          </w:p>
        </w:tc>
        <w:tc>
          <w:tcPr>
            <w:tcBorders>
              <w:top w:val="single" w:color="222222" w:sz="6" w:space="0"/>
              <w:left w:val="single" w:color="222222" w:sz="6" w:space="0"/>
              <w:bottom w:val="single" w:color="222222" w:sz="6" w:space="0"/>
              <w:right w:val="single" w:color="222222" w:sz="6" w:space="0"/>
            </w:tcBorders>
          </w:tcPr>
          <w:p w14:paraId="737BDF2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传统模式不适应多元化需求</w:t>
            </w:r>
          </w:p>
        </w:tc>
        <w:tc>
          <w:tcPr>
            <w:tcBorders>
              <w:top w:val="single" w:color="222222" w:sz="6" w:space="0"/>
              <w:left w:val="single" w:color="222222" w:sz="6" w:space="0"/>
              <w:bottom w:val="single" w:color="222222" w:sz="6" w:space="0"/>
              <w:right w:val="single" w:color="222222" w:sz="6" w:space="0"/>
            </w:tcBorders>
          </w:tcPr>
          <w:p w14:paraId="02C0FF9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档案管理、高等教育</w:t>
            </w:r>
          </w:p>
        </w:tc>
      </w:tr>
      <w:tr w14:paraId="09E0E9D8">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108380A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影视旅游产品优化</w:t>
            </w:r>
          </w:p>
        </w:tc>
        <w:tc>
          <w:tcPr>
            <w:tcBorders>
              <w:top w:val="single" w:color="222222" w:sz="6" w:space="0"/>
              <w:left w:val="single" w:color="222222" w:sz="6" w:space="0"/>
              <w:bottom w:val="single" w:color="222222" w:sz="6" w:space="0"/>
              <w:right w:val="single" w:color="222222" w:sz="6" w:space="0"/>
            </w:tcBorders>
          </w:tcPr>
          <w:p w14:paraId="39B850D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RMP分析、SEMs模型问卷</w:t>
            </w:r>
          </w:p>
        </w:tc>
        <w:tc>
          <w:tcPr>
            <w:tcBorders>
              <w:top w:val="single" w:color="222222" w:sz="6" w:space="0"/>
              <w:left w:val="single" w:color="222222" w:sz="6" w:space="0"/>
              <w:bottom w:val="single" w:color="222222" w:sz="6" w:space="0"/>
              <w:right w:val="single" w:color="222222" w:sz="6" w:space="0"/>
            </w:tcBorders>
          </w:tcPr>
          <w:p w14:paraId="216A09C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都匀市游客</w:t>
            </w:r>
          </w:p>
        </w:tc>
        <w:tc>
          <w:tcPr>
            <w:tcBorders>
              <w:top w:val="single" w:color="222222" w:sz="6" w:space="0"/>
              <w:left w:val="single" w:color="222222" w:sz="6" w:space="0"/>
              <w:bottom w:val="single" w:color="222222" w:sz="6" w:space="0"/>
              <w:right w:val="single" w:color="222222" w:sz="6" w:space="0"/>
            </w:tcBorders>
          </w:tcPr>
          <w:p w14:paraId="5E8EB6D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800份</w:t>
            </w:r>
          </w:p>
        </w:tc>
        <w:tc>
          <w:tcPr>
            <w:tcBorders>
              <w:top w:val="single" w:color="222222" w:sz="6" w:space="0"/>
              <w:left w:val="single" w:color="222222" w:sz="6" w:space="0"/>
              <w:bottom w:val="single" w:color="222222" w:sz="6" w:space="0"/>
              <w:right w:val="single" w:color="222222" w:sz="6" w:space="0"/>
            </w:tcBorders>
          </w:tcPr>
          <w:p w14:paraId="2EC2F02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体验性融入产品设计</w:t>
            </w:r>
          </w:p>
        </w:tc>
        <w:tc>
          <w:tcPr>
            <w:tcBorders>
              <w:top w:val="single" w:color="222222" w:sz="6" w:space="0"/>
              <w:left w:val="single" w:color="222222" w:sz="6" w:space="0"/>
              <w:bottom w:val="single" w:color="222222" w:sz="6" w:space="0"/>
              <w:right w:val="single" w:color="222222" w:sz="6" w:space="0"/>
            </w:tcBorders>
          </w:tcPr>
          <w:p w14:paraId="76A53FA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体验不足制约可持续发展</w:t>
            </w:r>
          </w:p>
        </w:tc>
        <w:tc>
          <w:tcPr>
            <w:tcBorders>
              <w:top w:val="single" w:color="222222" w:sz="6" w:space="0"/>
              <w:left w:val="single" w:color="222222" w:sz="6" w:space="0"/>
              <w:bottom w:val="single" w:color="222222" w:sz="6" w:space="0"/>
              <w:right w:val="single" w:color="222222" w:sz="6" w:space="0"/>
            </w:tcBorders>
          </w:tcPr>
          <w:p w14:paraId="22A60A7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文化旅游、城市营销</w:t>
            </w:r>
          </w:p>
        </w:tc>
      </w:tr>
      <w:tr w14:paraId="6E1CD26E">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2F0D44A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金融资讯产业演进</w:t>
            </w:r>
          </w:p>
        </w:tc>
        <w:tc>
          <w:tcPr>
            <w:tcBorders>
              <w:top w:val="single" w:color="222222" w:sz="6" w:space="0"/>
              <w:left w:val="single" w:color="222222" w:sz="6" w:space="0"/>
              <w:bottom w:val="single" w:color="222222" w:sz="6" w:space="0"/>
              <w:right w:val="single" w:color="222222" w:sz="6" w:space="0"/>
            </w:tcBorders>
          </w:tcPr>
          <w:p w14:paraId="128865E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产业融合理论分析</w:t>
            </w:r>
          </w:p>
        </w:tc>
        <w:tc>
          <w:tcPr>
            <w:tcBorders>
              <w:top w:val="single" w:color="222222" w:sz="6" w:space="0"/>
              <w:left w:val="single" w:color="222222" w:sz="6" w:space="0"/>
              <w:bottom w:val="single" w:color="222222" w:sz="6" w:space="0"/>
              <w:right w:val="single" w:color="222222" w:sz="6" w:space="0"/>
            </w:tcBorders>
          </w:tcPr>
          <w:p w14:paraId="5678F7C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金融/媒体机构</w:t>
            </w:r>
          </w:p>
        </w:tc>
        <w:tc>
          <w:tcPr>
            <w:tcBorders>
              <w:top w:val="single" w:color="222222" w:sz="6" w:space="0"/>
              <w:left w:val="single" w:color="222222" w:sz="6" w:space="0"/>
              <w:bottom w:val="single" w:color="222222" w:sz="6" w:space="0"/>
              <w:right w:val="single" w:color="222222" w:sz="6" w:space="0"/>
            </w:tcBorders>
          </w:tcPr>
          <w:p w14:paraId="57F24AD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50家</w:t>
            </w:r>
          </w:p>
        </w:tc>
        <w:tc>
          <w:tcPr>
            <w:tcBorders>
              <w:top w:val="single" w:color="222222" w:sz="6" w:space="0"/>
              <w:left w:val="single" w:color="222222" w:sz="6" w:space="0"/>
              <w:bottom w:val="single" w:color="222222" w:sz="6" w:space="0"/>
              <w:right w:val="single" w:color="222222" w:sz="6" w:space="0"/>
            </w:tcBorders>
          </w:tcPr>
          <w:p w14:paraId="4E2A4E2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跨产业数据处理技术</w:t>
            </w:r>
          </w:p>
        </w:tc>
        <w:tc>
          <w:tcPr>
            <w:tcBorders>
              <w:top w:val="single" w:color="222222" w:sz="6" w:space="0"/>
              <w:left w:val="single" w:color="222222" w:sz="6" w:space="0"/>
              <w:bottom w:val="single" w:color="222222" w:sz="6" w:space="0"/>
              <w:right w:val="single" w:color="222222" w:sz="6" w:space="0"/>
            </w:tcBorders>
          </w:tcPr>
          <w:p w14:paraId="2572588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金融-媒体-信息三要素融合</w:t>
            </w:r>
          </w:p>
        </w:tc>
        <w:tc>
          <w:tcPr>
            <w:tcBorders>
              <w:top w:val="single" w:color="222222" w:sz="6" w:space="0"/>
              <w:left w:val="single" w:color="222222" w:sz="6" w:space="0"/>
              <w:bottom w:val="single" w:color="222222" w:sz="6" w:space="0"/>
              <w:right w:val="single" w:color="222222" w:sz="6" w:space="0"/>
            </w:tcBorders>
          </w:tcPr>
          <w:p w14:paraId="2833111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金融科技、传媒产业</w:t>
            </w:r>
          </w:p>
        </w:tc>
      </w:tr>
      <w:tr w14:paraId="19C592C9">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5805350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融合媒体服务云</w:t>
            </w:r>
          </w:p>
        </w:tc>
        <w:tc>
          <w:tcPr>
            <w:tcBorders>
              <w:top w:val="single" w:color="222222" w:sz="6" w:space="0"/>
              <w:left w:val="single" w:color="222222" w:sz="6" w:space="0"/>
              <w:bottom w:val="single" w:color="222222" w:sz="6" w:space="0"/>
              <w:right w:val="single" w:color="222222" w:sz="6" w:space="0"/>
            </w:tcBorders>
          </w:tcPr>
          <w:p w14:paraId="7610F37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云计算架构设计</w:t>
            </w:r>
          </w:p>
        </w:tc>
        <w:tc>
          <w:tcPr>
            <w:tcBorders>
              <w:top w:val="single" w:color="222222" w:sz="6" w:space="0"/>
              <w:left w:val="single" w:color="222222" w:sz="6" w:space="0"/>
              <w:bottom w:val="single" w:color="222222" w:sz="6" w:space="0"/>
              <w:right w:val="single" w:color="222222" w:sz="6" w:space="0"/>
            </w:tcBorders>
          </w:tcPr>
          <w:p w14:paraId="0A15A36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广电运营商</w:t>
            </w:r>
          </w:p>
        </w:tc>
        <w:tc>
          <w:tcPr>
            <w:tcBorders>
              <w:top w:val="single" w:color="222222" w:sz="6" w:space="0"/>
              <w:left w:val="single" w:color="222222" w:sz="6" w:space="0"/>
              <w:bottom w:val="single" w:color="222222" w:sz="6" w:space="0"/>
              <w:right w:val="single" w:color="222222" w:sz="6" w:space="0"/>
            </w:tcBorders>
          </w:tcPr>
          <w:p w14:paraId="4B42832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15家</w:t>
            </w:r>
          </w:p>
        </w:tc>
        <w:tc>
          <w:tcPr>
            <w:tcBorders>
              <w:top w:val="single" w:color="222222" w:sz="6" w:space="0"/>
              <w:left w:val="single" w:color="222222" w:sz="6" w:space="0"/>
              <w:bottom w:val="single" w:color="222222" w:sz="6" w:space="0"/>
              <w:right w:val="single" w:color="222222" w:sz="6" w:space="0"/>
            </w:tcBorders>
          </w:tcPr>
          <w:p w14:paraId="085C9B8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三网融合技术集成</w:t>
            </w:r>
          </w:p>
        </w:tc>
        <w:tc>
          <w:tcPr>
            <w:tcBorders>
              <w:top w:val="single" w:color="222222" w:sz="6" w:space="0"/>
              <w:left w:val="single" w:color="222222" w:sz="6" w:space="0"/>
              <w:bottom w:val="single" w:color="222222" w:sz="6" w:space="0"/>
              <w:right w:val="single" w:color="222222" w:sz="6" w:space="0"/>
            </w:tcBorders>
          </w:tcPr>
          <w:p w14:paraId="64EC627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云技术推动业务转型</w:t>
            </w:r>
          </w:p>
        </w:tc>
        <w:tc>
          <w:tcPr>
            <w:tcBorders>
              <w:top w:val="single" w:color="222222" w:sz="6" w:space="0"/>
              <w:left w:val="single" w:color="222222" w:sz="6" w:space="0"/>
              <w:bottom w:val="single" w:color="222222" w:sz="6" w:space="0"/>
              <w:right w:val="single" w:color="222222" w:sz="6" w:space="0"/>
            </w:tcBorders>
          </w:tcPr>
          <w:p w14:paraId="48E0DB6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广播电视、通信服务</w:t>
            </w:r>
          </w:p>
        </w:tc>
      </w:tr>
      <w:tr w14:paraId="134537B5">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2AC75B9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异构网络对齐</w:t>
            </w:r>
          </w:p>
        </w:tc>
        <w:tc>
          <w:tcPr>
            <w:tcBorders>
              <w:top w:val="single" w:color="222222" w:sz="6" w:space="0"/>
              <w:left w:val="single" w:color="222222" w:sz="6" w:space="0"/>
              <w:bottom w:val="single" w:color="222222" w:sz="6" w:space="0"/>
              <w:right w:val="single" w:color="222222" w:sz="6" w:space="0"/>
            </w:tcBorders>
          </w:tcPr>
          <w:p w14:paraId="4BF9844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多源数据融合算法</w:t>
            </w:r>
          </w:p>
        </w:tc>
        <w:tc>
          <w:tcPr>
            <w:tcBorders>
              <w:top w:val="single" w:color="222222" w:sz="6" w:space="0"/>
              <w:left w:val="single" w:color="222222" w:sz="6" w:space="0"/>
              <w:bottom w:val="single" w:color="222222" w:sz="6" w:space="0"/>
              <w:right w:val="single" w:color="222222" w:sz="6" w:space="0"/>
            </w:tcBorders>
          </w:tcPr>
          <w:p w14:paraId="605DC63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社交媒体用户</w:t>
            </w:r>
          </w:p>
        </w:tc>
        <w:tc>
          <w:tcPr>
            <w:tcBorders>
              <w:top w:val="single" w:color="222222" w:sz="6" w:space="0"/>
              <w:left w:val="single" w:color="222222" w:sz="6" w:space="0"/>
              <w:bottom w:val="single" w:color="222222" w:sz="6" w:space="0"/>
              <w:right w:val="single" w:color="222222" w:sz="6" w:space="0"/>
            </w:tcBorders>
          </w:tcPr>
          <w:p w14:paraId="54B5C55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10万条</w:t>
            </w:r>
          </w:p>
        </w:tc>
        <w:tc>
          <w:tcPr>
            <w:tcBorders>
              <w:top w:val="single" w:color="222222" w:sz="6" w:space="0"/>
              <w:left w:val="single" w:color="222222" w:sz="6" w:space="0"/>
              <w:bottom w:val="single" w:color="222222" w:sz="6" w:space="0"/>
              <w:right w:val="single" w:color="222222" w:sz="6" w:space="0"/>
            </w:tcBorders>
          </w:tcPr>
          <w:p w14:paraId="6968AF6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跨网络特征关联</w:t>
            </w:r>
          </w:p>
        </w:tc>
        <w:tc>
          <w:tcPr>
            <w:tcBorders>
              <w:top w:val="single" w:color="222222" w:sz="6" w:space="0"/>
              <w:left w:val="single" w:color="222222" w:sz="6" w:space="0"/>
              <w:bottom w:val="single" w:color="222222" w:sz="6" w:space="0"/>
              <w:right w:val="single" w:color="222222" w:sz="6" w:space="0"/>
            </w:tcBorders>
          </w:tcPr>
          <w:p w14:paraId="52811EC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数据质量不均衡挑战显著</w:t>
            </w:r>
          </w:p>
        </w:tc>
        <w:tc>
          <w:tcPr>
            <w:tcBorders>
              <w:top w:val="single" w:color="222222" w:sz="6" w:space="0"/>
              <w:left w:val="single" w:color="222222" w:sz="6" w:space="0"/>
              <w:bottom w:val="single" w:color="222222" w:sz="6" w:space="0"/>
              <w:right w:val="single" w:color="222222" w:sz="6" w:space="0"/>
            </w:tcBorders>
          </w:tcPr>
          <w:p w14:paraId="548ED18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大数据分析、社交网络</w:t>
            </w:r>
          </w:p>
        </w:tc>
      </w:tr>
    </w:tbl>
    <w:p w14:paraId="010CF9F1">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样本质量控制采用交叉验证机制，对问卷数据进行逻辑校验，对访谈内容实施三角互证，确保样本数据的信度和效度。特别针对H5动画制作、720全景拍摄等新兴技术领域，增设技术体验环节，通过实操观察补充主观汇报数据的不足。</w:t>
      </w:r>
    </w:p>
    <w:p w14:paraId="32F181C0">
      <w:pPr>
        <w:pStyle w:val="3"/>
        <w:pageBreakBefore w:val="0"/>
        <w:widowControl/>
        <w:numPr>
          <w:ilvl w:val="0"/>
          <w:numId w:val="3"/>
        </w:numPr>
        <w:kinsoku/>
        <w:wordWrap/>
        <w:overflowPunct/>
        <w:topLinePunct w:val="0"/>
        <w:autoSpaceDE/>
        <w:autoSpaceDN/>
        <w:bidi w:val="0"/>
        <w:adjustRightInd/>
        <w:snapToGrid/>
        <w:spacing w:line="440" w:lineRule="exact"/>
        <w:ind w:left="-420" w:leftChars="0" w:firstLine="420" w:firstLineChars="0"/>
        <w:textAlignment w:val="auto"/>
        <w:rPr>
          <w:rFonts w:hint="eastAsia" w:asciiTheme="minorEastAsia" w:hAnsiTheme="minorEastAsia" w:eastAsiaTheme="minorEastAsia" w:cstheme="minorEastAsia"/>
        </w:rPr>
      </w:pPr>
      <w:bookmarkStart w:id="7" w:name="_Toc20189"/>
      <w:r>
        <w:rPr>
          <w:rFonts w:hint="eastAsia" w:asciiTheme="minorEastAsia" w:hAnsiTheme="minorEastAsia" w:eastAsiaTheme="minorEastAsia" w:cstheme="minorEastAsia"/>
        </w:rPr>
        <w:t>调研内容体系</w:t>
      </w:r>
      <w:bookmarkEnd w:id="7"/>
    </w:p>
    <w:p w14:paraId="4A6B9D4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调研内容体系采用"技术-岗位-能力"三维框架，重点围绕14门核心课程构建评估指标。技术维度包括技术成熟度、应用广度和创新性三个二级指标，其中虚拟场景搭建技术、三维影视包装等重点评估其与游戏引擎、实时渲染技术的融合程度。岗位维度参照《融媒体运营师国家职业标准》，分析内容生产、技术支撑、运营管理三类岗位的职责变化。能力维度采用冰山模型，从技能操作、知识结构、职业素养三个层面构建评估体系。</w:t>
      </w:r>
    </w:p>
    <w:p w14:paraId="10FD3E66">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实施过程分为四个阶段：预调研阶段（202</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年11-12月）主要进行文献梳理和调研工具开发，通过小范围试测修正问卷量表；数据采集阶段（202</w:t>
      </w:r>
      <w:r>
        <w:rPr>
          <w:rFonts w:hint="eastAsia" w:asciiTheme="minorEastAsia" w:hAnsiTheme="minorEastAsia" w:eastAsiaTheme="minorEastAsia" w:cstheme="minorEastAsia"/>
          <w:sz w:val="24"/>
          <w:lang w:val="en-US" w:eastAsia="zh-CN"/>
        </w:rPr>
        <w:t>3</w:t>
      </w:r>
      <w:r>
        <w:rPr>
          <w:rFonts w:hint="eastAsia" w:asciiTheme="minorEastAsia" w:hAnsiTheme="minorEastAsia" w:eastAsiaTheme="minorEastAsia" w:cstheme="minorEastAsia"/>
          <w:sz w:val="24"/>
        </w:rPr>
        <w:t>年1-3月）同步开展问卷调查、实地走访和线上访谈，采用移动端问卷系统实现数据实时上传；数据分析阶段（202</w:t>
      </w:r>
      <w:r>
        <w:rPr>
          <w:rFonts w:hint="eastAsia" w:asciiTheme="minorEastAsia" w:hAnsiTheme="minorEastAsia" w:eastAsiaTheme="minorEastAsia" w:cstheme="minorEastAsia"/>
          <w:sz w:val="24"/>
          <w:lang w:val="en-US" w:eastAsia="zh-CN"/>
        </w:rPr>
        <w:t>3</w:t>
      </w:r>
      <w:r>
        <w:rPr>
          <w:rFonts w:hint="eastAsia" w:asciiTheme="minorEastAsia" w:hAnsiTheme="minorEastAsia" w:eastAsiaTheme="minorEastAsia" w:cstheme="minorEastAsia"/>
          <w:sz w:val="24"/>
        </w:rPr>
        <w:t>年4月）运用SPSS26.0和NVivo12进行混合分析，通过因子分析降维提取关键能力要素，通过质性编码提炼技术演进规律；成果验证阶段（202</w:t>
      </w:r>
      <w:r>
        <w:rPr>
          <w:rFonts w:hint="eastAsia" w:asciiTheme="minorEastAsia" w:hAnsiTheme="minorEastAsia" w:eastAsiaTheme="minorEastAsia" w:cstheme="minorEastAsia"/>
          <w:sz w:val="24"/>
          <w:lang w:val="en-US" w:eastAsia="zh-CN"/>
        </w:rPr>
        <w:t>3</w:t>
      </w:r>
      <w:r>
        <w:rPr>
          <w:rFonts w:hint="eastAsia" w:asciiTheme="minorEastAsia" w:hAnsiTheme="minorEastAsia" w:eastAsiaTheme="minorEastAsia" w:cstheme="minorEastAsia"/>
          <w:sz w:val="24"/>
        </w:rPr>
        <w:t>年5月）举办3场专家研讨会，对初步结论进行修正完善。</w:t>
      </w:r>
    </w:p>
    <w:p w14:paraId="47E5AE9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整个实施过程注重动态调整机制，例如在发现影视剪辑实训课程与短视频策划课程存在内容重叠后，及时增加课程衔接性专项访谈。通过流程图可视化呈现实施过程的闭环管理：</w:t>
      </w:r>
    </w:p>
    <w:p w14:paraId="2313CCD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p>
    <w:tbl>
      <w:tblPr>
        <w:tblStyle w:val="13"/>
        <w:tblW w:w="97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15"/>
      </w:tblGrid>
      <w:tr w14:paraId="44990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vAlign w:val="center"/>
          </w:tcPr>
          <w:p w14:paraId="5BB3CF49">
            <w:pPr>
              <w:pageBreakBefore w:val="0"/>
              <w:widowControl/>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drawing>
                <wp:anchor distT="0" distB="0" distL="0" distR="0" simplePos="0" relativeHeight="251660288" behindDoc="0" locked="0" layoutInCell="1" allowOverlap="1">
                  <wp:simplePos x="0" y="0"/>
                  <wp:positionH relativeFrom="column">
                    <wp:posOffset>0</wp:posOffset>
                  </wp:positionH>
                  <wp:positionV relativeFrom="paragraph">
                    <wp:posOffset>-3451860</wp:posOffset>
                  </wp:positionV>
                  <wp:extent cx="5732145" cy="3675380"/>
                  <wp:effectExtent l="0" t="0" r="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5732145" cy="3675612"/>
                          </a:xfrm>
                          <a:prstGeom prst="rect">
                            <a:avLst/>
                          </a:prstGeom>
                        </pic:spPr>
                      </pic:pic>
                    </a:graphicData>
                  </a:graphic>
                </wp:anchor>
              </w:drawing>
            </w:r>
          </w:p>
        </w:tc>
      </w:tr>
      <w:tr w14:paraId="689D9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vAlign w:val="center"/>
          </w:tcPr>
          <w:p w14:paraId="19A23902">
            <w:pPr>
              <w:pageBreakBefore w:val="0"/>
              <w:widowControl/>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调研实施流程</w:t>
            </w:r>
          </w:p>
        </w:tc>
      </w:tr>
    </w:tbl>
    <w:p w14:paraId="2695ED3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p>
    <w:p w14:paraId="4DB9F4D7">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特别针对融媒体技术快速迭代的特点，在实施过程中建立技术预警机制，跟踪AIGC、元宇宙等新兴技术对课程体系的影响。通过持续6个月的跟踪调研，形成动态数据库，为人才培养方案优化提供实时数据支持。最终构建的调研内容体系既反映行业现状，又具备前瞻性，能够有效指导专业建设和课程改革。</w:t>
      </w:r>
    </w:p>
    <w:p w14:paraId="18637411">
      <w:pPr>
        <w:pStyle w:val="2"/>
        <w:pageBreakBefore w:val="0"/>
        <w:widowControl/>
        <w:numPr>
          <w:ilvl w:val="0"/>
          <w:numId w:val="1"/>
        </w:numPr>
        <w:kinsoku/>
        <w:wordWrap/>
        <w:overflowPunct/>
        <w:topLinePunct w:val="0"/>
        <w:autoSpaceDE/>
        <w:autoSpaceDN/>
        <w:bidi w:val="0"/>
        <w:adjustRightInd/>
        <w:snapToGrid/>
        <w:spacing w:line="440" w:lineRule="exact"/>
        <w:ind w:left="-420" w:leftChars="0" w:firstLine="420" w:firstLineChars="0"/>
        <w:textAlignment w:val="auto"/>
        <w:rPr>
          <w:rFonts w:hint="eastAsia" w:asciiTheme="minorEastAsia" w:hAnsiTheme="minorEastAsia" w:eastAsiaTheme="minorEastAsia" w:cstheme="minorEastAsia"/>
        </w:rPr>
      </w:pPr>
      <w:bookmarkStart w:id="8" w:name="_Toc10566"/>
      <w:r>
        <w:rPr>
          <w:rStyle w:val="16"/>
          <w:rFonts w:hint="eastAsia" w:asciiTheme="minorEastAsia" w:hAnsiTheme="minorEastAsia" w:eastAsiaTheme="minorEastAsia" w:cstheme="minorEastAsia"/>
          <w:b/>
          <w:bCs/>
        </w:rPr>
        <w:t>调研结果分析</w:t>
      </w:r>
      <w:bookmarkEnd w:id="8"/>
    </w:p>
    <w:p w14:paraId="54FC45C9">
      <w:pPr>
        <w:pStyle w:val="3"/>
        <w:pageBreakBefore w:val="0"/>
        <w:widowControl/>
        <w:numPr>
          <w:ilvl w:val="0"/>
          <w:numId w:val="4"/>
        </w:numPr>
        <w:kinsoku/>
        <w:wordWrap/>
        <w:overflowPunct/>
        <w:topLinePunct w:val="0"/>
        <w:autoSpaceDE/>
        <w:autoSpaceDN/>
        <w:bidi w:val="0"/>
        <w:adjustRightInd/>
        <w:snapToGrid/>
        <w:spacing w:line="440" w:lineRule="exact"/>
        <w:ind w:left="-420" w:leftChars="0" w:firstLine="420" w:firstLineChars="0"/>
        <w:textAlignment w:val="auto"/>
        <w:rPr>
          <w:rFonts w:hint="eastAsia" w:asciiTheme="minorEastAsia" w:hAnsiTheme="minorEastAsia" w:eastAsiaTheme="minorEastAsia" w:cstheme="minorEastAsia"/>
        </w:rPr>
      </w:pPr>
      <w:bookmarkStart w:id="9" w:name="_Toc4122"/>
      <w:r>
        <w:rPr>
          <w:rFonts w:hint="eastAsia" w:asciiTheme="minorEastAsia" w:hAnsiTheme="minorEastAsia" w:eastAsiaTheme="minorEastAsia" w:cstheme="minorEastAsia"/>
        </w:rPr>
        <w:t>融媒体行业现状与发展趋势</w:t>
      </w:r>
      <w:bookmarkEnd w:id="9"/>
    </w:p>
    <w:p w14:paraId="2D8C6307">
      <w:pPr>
        <w:pStyle w:val="4"/>
        <w:pageBreakBefore w:val="0"/>
        <w:widowControl/>
        <w:numPr>
          <w:ilvl w:val="0"/>
          <w:numId w:val="5"/>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行业市场规模与结构特征分析</w:t>
      </w:r>
    </w:p>
    <w:p w14:paraId="038BC58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融媒体行业作为传统媒体与新媒体深度融合的产物，近年来在中国呈现出迅猛的发展态势。其市场规模持续扩大，已成为数字经济时代的重要组成部分。根据相关行业分析报告显示，融媒体行业正经历从“相加”到“深融”的转变，市场规模增长显著。投资规模从2016年的38.2亿元增长至</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年的288.9亿元，年复合增长率高达28.78%，充分展现了行业强大的生命力与发展潜力（相关行业报告，202</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）。预计到2030年，中国融媒体市场规模有望突破5000亿元人民币。</w:t>
      </w:r>
    </w:p>
    <w:p w14:paraId="0E776E9E">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在结构特征方面，融媒体行业呈现出多层次、多元化的格局。首先，从市场主体结构看，已形成中央媒体、地方媒体、商业平台及县级融媒体中心共同发展的生态体系。其中，县级融媒体建设已实现全国2843个县级行政区的全覆盖，标志着基础性融合布局的基本完成（中研报告，202</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其次，从产业链结构分析，行业可细分为内容生产与分发、平台技术与服务两大部分。内容生产领域强调创新性与丰富性，通过图文、音频、视频、H5、直播等多元化形态满足用户需求；平台技术领域则依托5G、人工智能、大数据等基础设施，提供支撑性服务。</w:t>
      </w:r>
    </w:p>
    <w:p w14:paraId="7BD3314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区域市场分布呈现出明显的差异化特征。经济发达地区如长三角、珠三角和京津冀在技术应用、内容创新和商业模式探索上更为领先，而中西部地区则在政策引导下加速追赶，尤其在县级融媒体建设和公共信息服务方面成效显著。市场结构亦从早期的流量竞争，逐步转向以优质内容、精准分发和用户体验为核心的综合实力竞争。</w:t>
      </w:r>
    </w:p>
    <w:p w14:paraId="7C5D6F0E">
      <w:pPr>
        <w:pStyle w:val="4"/>
        <w:pageBreakBefore w:val="0"/>
        <w:widowControl/>
        <w:numPr>
          <w:ilvl w:val="0"/>
          <w:numId w:val="5"/>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技术演进与创新应用趋势</w:t>
      </w:r>
    </w:p>
    <w:p w14:paraId="06C9387E">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技术的持续演进是驱动融媒体行业发展的核心动力。当前，5G、人工智能（AI）、大数据、云计算等关键技术正深刻改变媒体的生产、分发与消费模式。</w:t>
      </w:r>
    </w:p>
    <w:p w14:paraId="2CED6077">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5G技术的大规模商用为融媒体提供了高速、低延迟的网络环境，极大地促进了超高清视频直播、VR/AR（虚拟现实/增强现实）、云端协同制作等应用场景的落地。例如，5G消息凭借其互联互通优势和强大的富文本内容承载能力，有望重塑新闻信息的生产传播模式（行业趋势分析，</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人工智能技术在内容生产环节的应用日益深入，包括AI写作、智能剪辑、语音合成等，提升了生产效率；在分发环节，基于用户画像的个性化推荐算法已成为标准配置，显著提高了信息触达的精准度。大数据技术则赋能行业进行市场趋势洞察、用户行为分析和传播效果评估，为决策提供数据支持。</w:t>
      </w:r>
    </w:p>
    <w:p w14:paraId="72ED2142">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创新应用趋势主要体现在以下几个方面：一是媒介形态的深度融合与创新，例如对元宇宙、VR/AR等新型媒介形态的探索正在加速，为用户带来沉浸式体验。二是短视频、直播形式的常态化与场景创新，其在新闻传播、电商带货、知识付费等领域的应用不断深化，形成了新的内容生态和商业模式。三是交互性增强，H5动画、720全景拍摄与缝合、三维影视包装等技术被广泛应用于互动报道、品牌营销和线上展馆，提升了用户的参与感和体验感。四是智能化与社交化趋势明显，融媒体产品更加注重社交属性的嵌入和智能化服务的提供，例如通过AI客服、社交分享等功能增强用户粘性。技术的融合应用正推动融媒体向智能化、社交化、场景化的方向发展。</w:t>
      </w:r>
    </w:p>
    <w:p w14:paraId="181362B0">
      <w:pPr>
        <w:pStyle w:val="4"/>
        <w:pageBreakBefore w:val="0"/>
        <w:widowControl/>
        <w:numPr>
          <w:ilvl w:val="0"/>
          <w:numId w:val="5"/>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政策环境与监管要求变化</w:t>
      </w:r>
    </w:p>
    <w:p w14:paraId="69957318">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中国融媒体行业的发展深受国家政策导向的影响，政策环境整体以支持与规范并重为特征。国家层面持续出台相关政策，为媒体深度融合指明了方向。例如，2020年9月，中共中央办公厅、国务院办公厅印发的《关于加快推进媒体深度融合发展的意见》强调要以互联网思维优化资源配置，推动优质内容、先进技术、专业人才向互联网主阵地汇集（政策研究，</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）。“十四五”规划中也对融媒体发展提出了明确要求，着重于构建全媒体传播体系、巩固壮大主流舆论阵地。</w:t>
      </w:r>
    </w:p>
    <w:p w14:paraId="0EBF2981">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政策支持主要体现在鼓励技术创新、推动基础设施建设和引导资源向融媒体领域倾斜等方面。其目标是推动传统媒体转型升级，提升主流媒体的传播力、引导力、影响力、公信力。</w:t>
      </w:r>
    </w:p>
    <w:p w14:paraId="21ADE9AC">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与此同时，行业监管框架也在不断完善，监管要求日益严格。数据安全与隐私保护成为监管重点，随着《个人信息保护法》、《数据安全法》等相关法规的落地执行，融媒体平台在用户数据收集、存储、使用和处理方面必须遵循合规要求，确保信息安全。内容监管方面，针对内容同质化、版权保护、网络谣言、虚假新闻等问题的治理力度不断加强，要求从业机构强化内容审核责任，保护知识产权，维护清朗的网络空间。行业准入、内容资质、算法推荐等方面的规范也逐步细化，对融媒体运营的合规性提出了更高要求。总体而言，未来的政策环境将在鼓励创新发展的同时，进一步强化规范引导，推动融媒体行业健康有序发展。</w:t>
      </w:r>
    </w:p>
    <w:p w14:paraId="065BC138">
      <w:pPr>
        <w:pStyle w:val="3"/>
        <w:pageBreakBefore w:val="0"/>
        <w:widowControl/>
        <w:numPr>
          <w:ilvl w:val="0"/>
          <w:numId w:val="4"/>
        </w:numPr>
        <w:kinsoku/>
        <w:wordWrap/>
        <w:overflowPunct/>
        <w:topLinePunct w:val="0"/>
        <w:autoSpaceDE/>
        <w:autoSpaceDN/>
        <w:bidi w:val="0"/>
        <w:adjustRightInd/>
        <w:snapToGrid/>
        <w:spacing w:line="440" w:lineRule="exact"/>
        <w:ind w:left="-420" w:leftChars="0" w:firstLine="420" w:firstLineChars="0"/>
        <w:textAlignment w:val="auto"/>
        <w:rPr>
          <w:rFonts w:hint="eastAsia" w:asciiTheme="minorEastAsia" w:hAnsiTheme="minorEastAsia" w:eastAsiaTheme="minorEastAsia" w:cstheme="minorEastAsia"/>
        </w:rPr>
      </w:pPr>
      <w:bookmarkStart w:id="10" w:name="_Toc10659"/>
      <w:r>
        <w:rPr>
          <w:rFonts w:hint="eastAsia" w:asciiTheme="minorEastAsia" w:hAnsiTheme="minorEastAsia" w:eastAsiaTheme="minorEastAsia" w:cstheme="minorEastAsia"/>
        </w:rPr>
        <w:t>职业岗位需求分析</w:t>
      </w:r>
      <w:bookmarkEnd w:id="10"/>
    </w:p>
    <w:p w14:paraId="05E113D5">
      <w:pPr>
        <w:pStyle w:val="4"/>
        <w:numPr>
          <w:ilvl w:val="0"/>
          <w:numId w:val="6"/>
        </w:numPr>
        <w:bidi w:val="0"/>
        <w:ind w:left="425" w:leftChars="0" w:hanging="425" w:firstLineChars="0"/>
        <w:rPr>
          <w:rFonts w:hint="eastAsia"/>
        </w:rPr>
      </w:pPr>
      <w:r>
        <w:rPr>
          <w:rFonts w:hint="eastAsia"/>
        </w:rPr>
        <w:t>适合毕业生的职业岗位类型</w:t>
      </w:r>
    </w:p>
    <w:p w14:paraId="5D591C7F">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融媒体技术与运营专业大专层次毕业生具备内容策划、技术应用与运营管理的综合能力，能够适应媒体融合时代对复合型人才的需求。根据行业调研结果，毕业生主要可就业于融媒体中心、互联网企业、影视制作机构、政府宣传部门及各类企业的市场品牌部门。具体职业岗位类型可归纳为以下七类：</w:t>
      </w:r>
    </w:p>
    <w:p w14:paraId="78FD4FD2">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融媒体编辑岗</w:t>
      </w:r>
      <w:r>
        <w:rPr>
          <w:rFonts w:hint="eastAsia" w:asciiTheme="minorEastAsia" w:hAnsiTheme="minorEastAsia" w:eastAsiaTheme="minorEastAsia" w:cstheme="minorEastAsia"/>
          <w:sz w:val="24"/>
        </w:rPr>
        <w:t>是毕业生的核心就业方向之一，主要在报社、电视台等传统媒体转型机构或新媒体平台，负责内容的数字化转化与多平台适配工作。随着媒体融合进程加速，该类岗位需求持续增长，要求从业人员能够熟练完成图文排版、短视频剪辑及跨平台内容发布任务。</w:t>
      </w:r>
    </w:p>
    <w:p w14:paraId="21DCAD2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新媒体运营岗</w:t>
      </w:r>
      <w:r>
        <w:rPr>
          <w:rFonts w:hint="eastAsia" w:asciiTheme="minorEastAsia" w:hAnsiTheme="minorEastAsia" w:eastAsiaTheme="minorEastAsia" w:cstheme="minorEastAsia"/>
          <w:sz w:val="24"/>
        </w:rPr>
        <w:t>涵盖短视频运营、直播电商策划、社交媒体管理等具体职位，广泛分布于互联网商业平台及各类企业的数字营销部门。该岗位要求从业者具备用户数据分析能力，能够通过精准的内容投放与互动策略提升平台活跃度与商业转化率。</w:t>
      </w:r>
    </w:p>
    <w:p w14:paraId="4EEAD029">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融媒体技术专员岗</w:t>
      </w:r>
      <w:r>
        <w:rPr>
          <w:rFonts w:hint="eastAsia" w:asciiTheme="minorEastAsia" w:hAnsiTheme="minorEastAsia" w:eastAsiaTheme="minorEastAsia" w:cstheme="minorEastAsia"/>
          <w:sz w:val="24"/>
        </w:rPr>
        <w:t>聚焦于技术支撑层面，主要负责融媒体平台（如新闻APP、直播系统）的日常维护、音视频上传、直播推流及多平台同步发布等技术保障工作。随着5G和AI技术的普及，智能剪辑工具应用、实时交互系统运维等新型技术岗位需求显著上升。</w:t>
      </w:r>
    </w:p>
    <w:p w14:paraId="3712F88B">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企业品牌传播岗</w:t>
      </w:r>
      <w:r>
        <w:rPr>
          <w:rFonts w:hint="eastAsia" w:asciiTheme="minorEastAsia" w:hAnsiTheme="minorEastAsia" w:eastAsiaTheme="minorEastAsia" w:cstheme="minorEastAsia"/>
          <w:sz w:val="24"/>
        </w:rPr>
        <w:t>主要面向各类企业的市场部或品牌部，承担融媒体营销策划、品牌宣传推广及社交媒体运营职责。该岗位要求从业者能够结合企业战略，通过数据分析优化传播路径，提升品牌影响力与市场渗透率。</w:t>
      </w:r>
    </w:p>
    <w:p w14:paraId="65613A8B">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政务与公共服务岗</w:t>
      </w:r>
      <w:r>
        <w:rPr>
          <w:rFonts w:hint="eastAsia" w:asciiTheme="minorEastAsia" w:hAnsiTheme="minorEastAsia" w:eastAsiaTheme="minorEastAsia" w:cstheme="minorEastAsia"/>
          <w:sz w:val="24"/>
        </w:rPr>
        <w:t>在政府宣传部门、文化机构及公共服务单位中扮演重要角色，负责政策解读、公共服务信息传播及文化宣传内容的融媒体化生产。此类岗位强调对公共政策的理解能力与公共服务信息的精准传达能力。</w:t>
      </w:r>
    </w:p>
    <w:p w14:paraId="41135F0B">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影视制作技术岗</w:t>
      </w:r>
      <w:r>
        <w:rPr>
          <w:rFonts w:hint="eastAsia" w:asciiTheme="minorEastAsia" w:hAnsiTheme="minorEastAsia" w:eastAsiaTheme="minorEastAsia" w:cstheme="minorEastAsia"/>
          <w:sz w:val="24"/>
        </w:rPr>
        <w:t>面向影视制作机构或内容工作室，参与影视项目的前期拍摄与后期制作环节，需掌握智能剪辑技术、特效合成等专业技能。随着虚拟场景搭建、三维影视包装等技术普及，该岗位对技术应用能力的要求不断提高。</w:t>
      </w:r>
    </w:p>
    <w:p w14:paraId="7B7107E6">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互联网信息审核岗</w:t>
      </w:r>
      <w:r>
        <w:rPr>
          <w:rFonts w:hint="eastAsia" w:asciiTheme="minorEastAsia" w:hAnsiTheme="minorEastAsia" w:eastAsiaTheme="minorEastAsia" w:cstheme="minorEastAsia"/>
          <w:sz w:val="24"/>
        </w:rPr>
        <w:t>作为互联网平台内容生态的重要保障，负责审核用户生成内容的合规性，确保信息传播符合法律法规与平台规范。该岗位需具备较强的法律意识与风险识别能力，是近年来随着内容治理需求兴起的新兴岗位。</w:t>
      </w:r>
    </w:p>
    <w:p w14:paraId="6B5902F2">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此外，部分毕业生还可向</w:t>
      </w:r>
      <w:r>
        <w:rPr>
          <w:rFonts w:hint="eastAsia" w:asciiTheme="minorEastAsia" w:hAnsiTheme="minorEastAsia" w:eastAsiaTheme="minorEastAsia" w:cstheme="minorEastAsia"/>
          <w:b/>
          <w:sz w:val="24"/>
        </w:rPr>
        <w:t>数据分析师</w:t>
      </w:r>
      <w:r>
        <w:rPr>
          <w:rFonts w:hint="eastAsia" w:asciiTheme="minorEastAsia" w:hAnsiTheme="minorEastAsia" w:eastAsiaTheme="minorEastAsia" w:cstheme="minorEastAsia"/>
          <w:sz w:val="24"/>
        </w:rPr>
        <w:t>方向发展，通过挖掘用户行为数据优化内容策略，为融媒体运营提供决策支持。整体而言，融媒体技术与运营专业毕业生的就业面覆盖“技术+运营”全链条，岗位类型呈现多元化、交叉化特征，契合数字媒体产业对高素质技能人才的需求结构。</w:t>
      </w:r>
    </w:p>
    <w:p w14:paraId="6B2AE926">
      <w:pPr>
        <w:pStyle w:val="4"/>
        <w:numPr>
          <w:ilvl w:val="0"/>
          <w:numId w:val="6"/>
        </w:numPr>
        <w:bidi w:val="0"/>
        <w:ind w:left="425" w:leftChars="0" w:hanging="425" w:firstLineChars="0"/>
        <w:rPr>
          <w:rFonts w:hint="eastAsia"/>
        </w:rPr>
      </w:pPr>
      <w:r>
        <w:rPr>
          <w:rFonts w:hint="eastAsia"/>
        </w:rPr>
        <w:t>各岗位职责与工作内容分析</w:t>
      </w:r>
    </w:p>
    <w:p w14:paraId="332278B9">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不同职业岗位类型对应差异化的职责要求与工作内容，以下结合行业实践对主要岗位进行细化分析：</w:t>
      </w:r>
    </w:p>
    <w:p w14:paraId="5A62DD4A">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融媒体编辑岗</w:t>
      </w:r>
      <w:r>
        <w:rPr>
          <w:rFonts w:hint="eastAsia" w:asciiTheme="minorEastAsia" w:hAnsiTheme="minorEastAsia" w:eastAsiaTheme="minorEastAsia" w:cstheme="minorEastAsia"/>
          <w:sz w:val="24"/>
        </w:rPr>
        <w:t>的核心职责包括融媒体内容策划、采编、审核与发布。具体工作内容涉及：根据热点事件或用户需求制定内容选题方案；完成图文、短视频、直播等多形态内容的采集与编辑；适配不同平台（如微信、抖音、新闻客户端）的内容格式规范；利用内容管理系统实现多平台同步发布；对已发布内容进行效果追踪与优化调整。该岗位要求从业人员具备较强的新闻敏感度、跨平台内容转化能力及基础的技术工具操作技能。</w:t>
      </w:r>
    </w:p>
    <w:p w14:paraId="3BB8BF1E">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新媒体运营岗</w:t>
      </w:r>
      <w:r>
        <w:rPr>
          <w:rFonts w:hint="eastAsia" w:asciiTheme="minorEastAsia" w:hAnsiTheme="minorEastAsia" w:eastAsiaTheme="minorEastAsia" w:cstheme="minorEastAsia"/>
          <w:sz w:val="24"/>
        </w:rPr>
        <w:t>的工作内容聚焦于用户增长与商业转化。典型任务包括：制定短视频内容矩阵策略，通过算法优化提升内容曝光率；策划直播电商活动，协调主播、供应链与技术支持资源；管理社交媒体账号的日常互动与粉丝维护；运用数据分析工具（如百度统计、抖音后台）监测用户行为，生成运营报告并调整策略。该岗位需具备市场洞察力、营销策划能力及数据驱动决策意识。</w:t>
      </w:r>
    </w:p>
    <w:p w14:paraId="2277ADB9">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融媒体技术专员岗</w:t>
      </w:r>
      <w:r>
        <w:rPr>
          <w:rFonts w:hint="eastAsia" w:asciiTheme="minorEastAsia" w:hAnsiTheme="minorEastAsia" w:eastAsiaTheme="minorEastAsia" w:cstheme="minorEastAsia"/>
          <w:sz w:val="24"/>
        </w:rPr>
        <w:t>以技术运维为核心职责，具体涵盖：保障融媒体平台（如“中央厨房”系统）的稳定运行，处理音视频上传、转码、存储等技术环节；配置直播推流参数，确保多终端观看体验；解决平台同步发布中的技术故障；参与新技术（如AI剪辑工具、VR内容生产系统）的测试与部署。该岗位要求熟练掌握音视频处理技术、网络传输协议及常见运维工具。</w:t>
      </w:r>
    </w:p>
    <w:p w14:paraId="3667CAE1">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企业品牌传播岗</w:t>
      </w:r>
      <w:r>
        <w:rPr>
          <w:rFonts w:hint="eastAsia" w:asciiTheme="minorEastAsia" w:hAnsiTheme="minorEastAsia" w:eastAsiaTheme="minorEastAsia" w:cstheme="minorEastAsia"/>
          <w:sz w:val="24"/>
        </w:rPr>
        <w:t>的工作内容围绕品牌价值传播展开，包括：制定年度融媒体营销计划，结合产品特性设计社交媒体传播活动；创作品牌故事视频、H5互动页面等融媒体内容；监测舆情动态，及时调整传播策略；通过KOL合作、话题营销等方式提升品牌声量。此岗位需兼具创意策划能力与商业逻辑思维。</w:t>
      </w:r>
    </w:p>
    <w:p w14:paraId="26816E24">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政务与公共服务岗</w:t>
      </w:r>
      <w:r>
        <w:rPr>
          <w:rFonts w:hint="eastAsia" w:asciiTheme="minorEastAsia" w:hAnsiTheme="minorEastAsia" w:eastAsiaTheme="minorEastAsia" w:cstheme="minorEastAsia"/>
          <w:sz w:val="24"/>
        </w:rPr>
        <w:t>的职责强调公共属性，具体工作包括：将政策文件转化为通俗易懂的图文、短视频内容；运营政府微信公众号、政务抖音号等平台；组织在线问政、公共服务直播活动；应对突发公共事件的信息发布需求。从业人员需准确把握政策边界，具备公共服务意识与应急沟通能力。</w:t>
      </w:r>
    </w:p>
    <w:p w14:paraId="1E1F253B">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影视制作技术岗</w:t>
      </w:r>
      <w:r>
        <w:rPr>
          <w:rFonts w:hint="eastAsia" w:asciiTheme="minorEastAsia" w:hAnsiTheme="minorEastAsia" w:eastAsiaTheme="minorEastAsia" w:cstheme="minorEastAsia"/>
          <w:sz w:val="24"/>
        </w:rPr>
        <w:t>的工作内容涉及影视工业生产全流程：前期参与拍摄方案设计，操作专业摄像设备；后期使用Premiere、DaVinci Resolve等工具完成剪辑调色；应用After Effects、C4D进行特效包装与三维片头设计；协作完成成片输出与多版本适配。该岗位要求精通影视语言规律及专业技术软件操作。</w:t>
      </w:r>
    </w:p>
    <w:p w14:paraId="132C3B6E">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互联网信息审核岗</w:t>
      </w:r>
      <w:r>
        <w:rPr>
          <w:rFonts w:hint="eastAsia" w:asciiTheme="minorEastAsia" w:hAnsiTheme="minorEastAsia" w:eastAsiaTheme="minorEastAsia" w:cstheme="minorEastAsia"/>
          <w:sz w:val="24"/>
        </w:rPr>
        <w:t>的核心工作是通过人工与AI结合的方式，对平台内容进行合规性审查。具体包括：依据法律法规识别违规内容（如虚假信息、暴力倾向内容）；标注内容风险等级；协同算法团队优化审核模型；处理用户举报投诉。此岗位需持续更新法律知识库，具备较强的伦理判断能力。</w:t>
      </w:r>
    </w:p>
    <w:p w14:paraId="6EB75783">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以下表格系统梳理了各岗位职责与能力要求的对应关系：</w:t>
      </w:r>
    </w:p>
    <w:tbl>
      <w:tblPr>
        <w:tblStyle w:val="13"/>
        <w:tblW w:w="5000" w:type="pct"/>
        <w:tblInd w:w="0" w:type="dxa"/>
        <w:tblLayout w:type="autofit"/>
        <w:tblCellMar>
          <w:top w:w="0" w:type="dxa"/>
          <w:left w:w="108" w:type="dxa"/>
          <w:bottom w:w="0" w:type="dxa"/>
          <w:right w:w="108" w:type="dxa"/>
        </w:tblCellMar>
      </w:tblPr>
      <w:tblGrid>
        <w:gridCol w:w="911"/>
        <w:gridCol w:w="2644"/>
        <w:gridCol w:w="2189"/>
        <w:gridCol w:w="1303"/>
        <w:gridCol w:w="1475"/>
      </w:tblGrid>
      <w:tr w14:paraId="7CA524E1">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5479E9B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职业岗位类型</w:t>
            </w:r>
          </w:p>
        </w:tc>
        <w:tc>
          <w:tcPr>
            <w:tcBorders>
              <w:top w:val="single" w:color="222222" w:sz="6" w:space="0"/>
              <w:left w:val="single" w:color="222222" w:sz="6" w:space="0"/>
              <w:bottom w:val="single" w:color="222222" w:sz="6" w:space="0"/>
              <w:right w:val="single" w:color="222222" w:sz="6" w:space="0"/>
            </w:tcBorders>
          </w:tcPr>
          <w:p w14:paraId="7D57674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主要职责</w:t>
            </w:r>
          </w:p>
        </w:tc>
        <w:tc>
          <w:tcPr>
            <w:tcBorders>
              <w:top w:val="single" w:color="222222" w:sz="6" w:space="0"/>
              <w:left w:val="single" w:color="222222" w:sz="6" w:space="0"/>
              <w:bottom w:val="single" w:color="222222" w:sz="6" w:space="0"/>
              <w:right w:val="single" w:color="222222" w:sz="6" w:space="0"/>
            </w:tcBorders>
          </w:tcPr>
          <w:p w14:paraId="014270A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核心能力要求</w:t>
            </w:r>
          </w:p>
        </w:tc>
        <w:tc>
          <w:tcPr>
            <w:tcBorders>
              <w:top w:val="single" w:color="222222" w:sz="6" w:space="0"/>
              <w:left w:val="single" w:color="222222" w:sz="6" w:space="0"/>
              <w:bottom w:val="single" w:color="222222" w:sz="6" w:space="0"/>
              <w:right w:val="single" w:color="222222" w:sz="6" w:space="0"/>
            </w:tcBorders>
          </w:tcPr>
          <w:p w14:paraId="429FBE3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典型薪资范围（月薪）</w:t>
            </w:r>
          </w:p>
        </w:tc>
        <w:tc>
          <w:tcPr>
            <w:tcBorders>
              <w:top w:val="single" w:color="222222" w:sz="6" w:space="0"/>
              <w:left w:val="single" w:color="222222" w:sz="6" w:space="0"/>
              <w:bottom w:val="single" w:color="222222" w:sz="6" w:space="0"/>
              <w:right w:val="single" w:color="222222" w:sz="6" w:space="0"/>
            </w:tcBorders>
          </w:tcPr>
          <w:p w14:paraId="3A05F9E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发展路径</w:t>
            </w:r>
          </w:p>
        </w:tc>
      </w:tr>
      <w:tr w14:paraId="2F35B588">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7467BE9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融媒体编辑</w:t>
            </w:r>
          </w:p>
        </w:tc>
        <w:tc>
          <w:tcPr>
            <w:tcBorders>
              <w:top w:val="single" w:color="222222" w:sz="6" w:space="0"/>
              <w:left w:val="single" w:color="222222" w:sz="6" w:space="0"/>
              <w:bottom w:val="single" w:color="222222" w:sz="6" w:space="0"/>
              <w:right w:val="single" w:color="222222" w:sz="6" w:space="0"/>
            </w:tcBorders>
          </w:tcPr>
          <w:p w14:paraId="3E2137B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负责融媒体内容策划、采编、审核及发布，适配多平台内容格式</w:t>
            </w:r>
          </w:p>
        </w:tc>
        <w:tc>
          <w:tcPr>
            <w:tcBorders>
              <w:top w:val="single" w:color="222222" w:sz="6" w:space="0"/>
              <w:left w:val="single" w:color="222222" w:sz="6" w:space="0"/>
              <w:bottom w:val="single" w:color="222222" w:sz="6" w:space="0"/>
              <w:right w:val="single" w:color="222222" w:sz="6" w:space="0"/>
            </w:tcBorders>
          </w:tcPr>
          <w:p w14:paraId="64238A2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内容策划能力、多平台发布技能、基础剪辑与排版能力</w:t>
            </w:r>
          </w:p>
        </w:tc>
        <w:tc>
          <w:tcPr>
            <w:tcBorders>
              <w:top w:val="single" w:color="222222" w:sz="6" w:space="0"/>
              <w:left w:val="single" w:color="222222" w:sz="6" w:space="0"/>
              <w:bottom w:val="single" w:color="222222" w:sz="6" w:space="0"/>
              <w:right w:val="single" w:color="222222" w:sz="6" w:space="0"/>
            </w:tcBorders>
          </w:tcPr>
          <w:p w14:paraId="1EC20B9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4500-7000元</w:t>
            </w:r>
          </w:p>
        </w:tc>
        <w:tc>
          <w:tcPr>
            <w:tcBorders>
              <w:top w:val="single" w:color="222222" w:sz="6" w:space="0"/>
              <w:left w:val="single" w:color="222222" w:sz="6" w:space="0"/>
              <w:bottom w:val="single" w:color="222222" w:sz="6" w:space="0"/>
              <w:right w:val="single" w:color="222222" w:sz="6" w:space="0"/>
            </w:tcBorders>
          </w:tcPr>
          <w:p w14:paraId="17384F9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资深编辑、内容总监</w:t>
            </w:r>
          </w:p>
        </w:tc>
      </w:tr>
      <w:tr w14:paraId="60302F54">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1965AC0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新媒体运营</w:t>
            </w:r>
          </w:p>
        </w:tc>
        <w:tc>
          <w:tcPr>
            <w:tcBorders>
              <w:top w:val="single" w:color="222222" w:sz="6" w:space="0"/>
              <w:left w:val="single" w:color="222222" w:sz="6" w:space="0"/>
              <w:bottom w:val="single" w:color="222222" w:sz="6" w:space="0"/>
              <w:right w:val="single" w:color="222222" w:sz="6" w:space="0"/>
            </w:tcBorders>
          </w:tcPr>
          <w:p w14:paraId="3341E43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短视频运营、直播电商策划、社交媒体管理及用户数据分析</w:t>
            </w:r>
          </w:p>
        </w:tc>
        <w:tc>
          <w:tcPr>
            <w:tcBorders>
              <w:top w:val="single" w:color="222222" w:sz="6" w:space="0"/>
              <w:left w:val="single" w:color="222222" w:sz="6" w:space="0"/>
              <w:bottom w:val="single" w:color="222222" w:sz="6" w:space="0"/>
              <w:right w:val="single" w:color="222222" w:sz="6" w:space="0"/>
            </w:tcBorders>
          </w:tcPr>
          <w:p w14:paraId="39E3F59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平台运营经验、数据分析能力、营销策划能力</w:t>
            </w:r>
          </w:p>
        </w:tc>
        <w:tc>
          <w:tcPr>
            <w:tcBorders>
              <w:top w:val="single" w:color="222222" w:sz="6" w:space="0"/>
              <w:left w:val="single" w:color="222222" w:sz="6" w:space="0"/>
              <w:bottom w:val="single" w:color="222222" w:sz="6" w:space="0"/>
              <w:right w:val="single" w:color="222222" w:sz="6" w:space="0"/>
            </w:tcBorders>
          </w:tcPr>
          <w:p w14:paraId="5CA6278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6266-10400元</w:t>
            </w:r>
          </w:p>
        </w:tc>
        <w:tc>
          <w:tcPr>
            <w:tcBorders>
              <w:top w:val="single" w:color="222222" w:sz="6" w:space="0"/>
              <w:left w:val="single" w:color="222222" w:sz="6" w:space="0"/>
              <w:bottom w:val="single" w:color="222222" w:sz="6" w:space="0"/>
              <w:right w:val="single" w:color="222222" w:sz="6" w:space="0"/>
            </w:tcBorders>
          </w:tcPr>
          <w:p w14:paraId="76E60BE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运营经理、品牌策划总监</w:t>
            </w:r>
          </w:p>
        </w:tc>
      </w:tr>
      <w:tr w14:paraId="18124E1D">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1ADFA97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融媒体技术专员</w:t>
            </w:r>
          </w:p>
        </w:tc>
        <w:tc>
          <w:tcPr>
            <w:tcBorders>
              <w:top w:val="single" w:color="222222" w:sz="6" w:space="0"/>
              <w:left w:val="single" w:color="222222" w:sz="6" w:space="0"/>
              <w:bottom w:val="single" w:color="222222" w:sz="6" w:space="0"/>
              <w:right w:val="single" w:color="222222" w:sz="6" w:space="0"/>
            </w:tcBorders>
          </w:tcPr>
          <w:p w14:paraId="0FD0ECA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维护融媒体平台技术系统，处理音视频上传、直播推流等技术问题</w:t>
            </w:r>
          </w:p>
        </w:tc>
        <w:tc>
          <w:tcPr>
            <w:tcBorders>
              <w:top w:val="single" w:color="222222" w:sz="6" w:space="0"/>
              <w:left w:val="single" w:color="222222" w:sz="6" w:space="0"/>
              <w:bottom w:val="single" w:color="222222" w:sz="6" w:space="0"/>
              <w:right w:val="single" w:color="222222" w:sz="6" w:space="0"/>
            </w:tcBorders>
          </w:tcPr>
          <w:p w14:paraId="598197F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技术维护能力、多平台同步发布技能、故障排查能力</w:t>
            </w:r>
          </w:p>
        </w:tc>
        <w:tc>
          <w:tcPr>
            <w:tcBorders>
              <w:top w:val="single" w:color="222222" w:sz="6" w:space="0"/>
              <w:left w:val="single" w:color="222222" w:sz="6" w:space="0"/>
              <w:bottom w:val="single" w:color="222222" w:sz="6" w:space="0"/>
              <w:right w:val="single" w:color="222222" w:sz="6" w:space="0"/>
            </w:tcBorders>
          </w:tcPr>
          <w:p w14:paraId="15FCD51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5000-8000元</w:t>
            </w:r>
          </w:p>
        </w:tc>
        <w:tc>
          <w:tcPr>
            <w:tcBorders>
              <w:top w:val="single" w:color="222222" w:sz="6" w:space="0"/>
              <w:left w:val="single" w:color="222222" w:sz="6" w:space="0"/>
              <w:bottom w:val="single" w:color="222222" w:sz="6" w:space="0"/>
              <w:right w:val="single" w:color="222222" w:sz="6" w:space="0"/>
            </w:tcBorders>
          </w:tcPr>
          <w:p w14:paraId="2E4E7F8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技术主管、系统架构师</w:t>
            </w:r>
          </w:p>
        </w:tc>
      </w:tr>
      <w:tr w14:paraId="3D6F86DE">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3536FAF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企业品牌传播岗</w:t>
            </w:r>
          </w:p>
        </w:tc>
        <w:tc>
          <w:tcPr>
            <w:tcBorders>
              <w:top w:val="single" w:color="222222" w:sz="6" w:space="0"/>
              <w:left w:val="single" w:color="222222" w:sz="6" w:space="0"/>
              <w:bottom w:val="single" w:color="222222" w:sz="6" w:space="0"/>
              <w:right w:val="single" w:color="222222" w:sz="6" w:space="0"/>
            </w:tcBorders>
          </w:tcPr>
          <w:p w14:paraId="2F08E66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负责企业融媒体营销策划、品牌宣传推广，优化传播效果</w:t>
            </w:r>
          </w:p>
        </w:tc>
        <w:tc>
          <w:tcPr>
            <w:tcBorders>
              <w:top w:val="single" w:color="222222" w:sz="6" w:space="0"/>
              <w:left w:val="single" w:color="222222" w:sz="6" w:space="0"/>
              <w:bottom w:val="single" w:color="222222" w:sz="6" w:space="0"/>
              <w:right w:val="single" w:color="222222" w:sz="6" w:space="0"/>
            </w:tcBorders>
          </w:tcPr>
          <w:p w14:paraId="46E535B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品牌策划能力、社交媒体运营经验、市场分析能力</w:t>
            </w:r>
          </w:p>
        </w:tc>
        <w:tc>
          <w:tcPr>
            <w:tcBorders>
              <w:top w:val="single" w:color="222222" w:sz="6" w:space="0"/>
              <w:left w:val="single" w:color="222222" w:sz="6" w:space="0"/>
              <w:bottom w:val="single" w:color="222222" w:sz="6" w:space="0"/>
              <w:right w:val="single" w:color="222222" w:sz="6" w:space="0"/>
            </w:tcBorders>
          </w:tcPr>
          <w:p w14:paraId="50232FB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6000-9000元</w:t>
            </w:r>
          </w:p>
        </w:tc>
        <w:tc>
          <w:tcPr>
            <w:tcBorders>
              <w:top w:val="single" w:color="222222" w:sz="6" w:space="0"/>
              <w:left w:val="single" w:color="222222" w:sz="6" w:space="0"/>
              <w:bottom w:val="single" w:color="222222" w:sz="6" w:space="0"/>
              <w:right w:val="single" w:color="222222" w:sz="6" w:space="0"/>
            </w:tcBorders>
          </w:tcPr>
          <w:p w14:paraId="7D2C2F3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市场部经理、品牌总监</w:t>
            </w:r>
          </w:p>
        </w:tc>
      </w:tr>
      <w:tr w14:paraId="06513A57">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62B5C2D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政务与公共服务岗</w:t>
            </w:r>
          </w:p>
        </w:tc>
        <w:tc>
          <w:tcPr>
            <w:tcBorders>
              <w:top w:val="single" w:color="222222" w:sz="6" w:space="0"/>
              <w:left w:val="single" w:color="222222" w:sz="6" w:space="0"/>
              <w:bottom w:val="single" w:color="222222" w:sz="6" w:space="0"/>
              <w:right w:val="single" w:color="222222" w:sz="6" w:space="0"/>
            </w:tcBorders>
          </w:tcPr>
          <w:p w14:paraId="6783362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在政府或文化机构负责融媒体内容生产与传播，提升公共服务信息影响力</w:t>
            </w:r>
          </w:p>
        </w:tc>
        <w:tc>
          <w:tcPr>
            <w:tcBorders>
              <w:top w:val="single" w:color="222222" w:sz="6" w:space="0"/>
              <w:left w:val="single" w:color="222222" w:sz="6" w:space="0"/>
              <w:bottom w:val="single" w:color="222222" w:sz="6" w:space="0"/>
              <w:right w:val="single" w:color="222222" w:sz="6" w:space="0"/>
            </w:tcBorders>
          </w:tcPr>
          <w:p w14:paraId="55A7ABF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政策理解能力、公共服务传播技能、多平台内容制作能力</w:t>
            </w:r>
          </w:p>
        </w:tc>
        <w:tc>
          <w:tcPr>
            <w:tcBorders>
              <w:top w:val="single" w:color="222222" w:sz="6" w:space="0"/>
              <w:left w:val="single" w:color="222222" w:sz="6" w:space="0"/>
              <w:bottom w:val="single" w:color="222222" w:sz="6" w:space="0"/>
              <w:right w:val="single" w:color="222222" w:sz="6" w:space="0"/>
            </w:tcBorders>
          </w:tcPr>
          <w:p w14:paraId="22C12F2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5000-7500元</w:t>
            </w:r>
          </w:p>
        </w:tc>
        <w:tc>
          <w:tcPr>
            <w:tcBorders>
              <w:top w:val="single" w:color="222222" w:sz="6" w:space="0"/>
              <w:left w:val="single" w:color="222222" w:sz="6" w:space="0"/>
              <w:bottom w:val="single" w:color="222222" w:sz="6" w:space="0"/>
              <w:right w:val="single" w:color="222222" w:sz="6" w:space="0"/>
            </w:tcBorders>
          </w:tcPr>
          <w:p w14:paraId="4B5F6A3D">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宣传部门负责人、公共事务主管</w:t>
            </w:r>
          </w:p>
        </w:tc>
      </w:tr>
      <w:tr w14:paraId="43DC9553">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6FF2C68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影视制作技术岗</w:t>
            </w:r>
          </w:p>
        </w:tc>
        <w:tc>
          <w:tcPr>
            <w:tcBorders>
              <w:top w:val="single" w:color="222222" w:sz="6" w:space="0"/>
              <w:left w:val="single" w:color="222222" w:sz="6" w:space="0"/>
              <w:bottom w:val="single" w:color="222222" w:sz="6" w:space="0"/>
              <w:right w:val="single" w:color="222222" w:sz="6" w:space="0"/>
            </w:tcBorders>
          </w:tcPr>
          <w:p w14:paraId="5755C54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参与影视项目前期拍摄与后期制作，应用智能剪辑技术提升效率</w:t>
            </w:r>
          </w:p>
        </w:tc>
        <w:tc>
          <w:tcPr>
            <w:tcBorders>
              <w:top w:val="single" w:color="222222" w:sz="6" w:space="0"/>
              <w:left w:val="single" w:color="222222" w:sz="6" w:space="0"/>
              <w:bottom w:val="single" w:color="222222" w:sz="6" w:space="0"/>
              <w:right w:val="single" w:color="222222" w:sz="6" w:space="0"/>
            </w:tcBorders>
          </w:tcPr>
          <w:p w14:paraId="5EB1AE0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影视制作技能、智能剪辑工具应用能力、团队协作能力</w:t>
            </w:r>
          </w:p>
        </w:tc>
        <w:tc>
          <w:tcPr>
            <w:tcBorders>
              <w:top w:val="single" w:color="222222" w:sz="6" w:space="0"/>
              <w:left w:val="single" w:color="222222" w:sz="6" w:space="0"/>
              <w:bottom w:val="single" w:color="222222" w:sz="6" w:space="0"/>
              <w:right w:val="single" w:color="222222" w:sz="6" w:space="0"/>
            </w:tcBorders>
          </w:tcPr>
          <w:p w14:paraId="28BA785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5500-8500元</w:t>
            </w:r>
          </w:p>
        </w:tc>
        <w:tc>
          <w:tcPr>
            <w:tcBorders>
              <w:top w:val="single" w:color="222222" w:sz="6" w:space="0"/>
              <w:left w:val="single" w:color="222222" w:sz="6" w:space="0"/>
              <w:bottom w:val="single" w:color="222222" w:sz="6" w:space="0"/>
              <w:right w:val="single" w:color="222222" w:sz="6" w:space="0"/>
            </w:tcBorders>
          </w:tcPr>
          <w:p w14:paraId="7612D65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技术总监、制片人</w:t>
            </w:r>
          </w:p>
        </w:tc>
      </w:tr>
      <w:tr w14:paraId="2441BB27">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1024A5F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互联网信息审核岗</w:t>
            </w:r>
          </w:p>
        </w:tc>
        <w:tc>
          <w:tcPr>
            <w:tcBorders>
              <w:top w:val="single" w:color="222222" w:sz="6" w:space="0"/>
              <w:left w:val="single" w:color="222222" w:sz="6" w:space="0"/>
              <w:bottom w:val="single" w:color="222222" w:sz="6" w:space="0"/>
              <w:right w:val="single" w:color="222222" w:sz="6" w:space="0"/>
            </w:tcBorders>
          </w:tcPr>
          <w:p w14:paraId="135EA9C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负责平台内容合规性审核，确保信息符合法律法规及平台规范</w:t>
            </w:r>
          </w:p>
        </w:tc>
        <w:tc>
          <w:tcPr>
            <w:tcBorders>
              <w:top w:val="single" w:color="222222" w:sz="6" w:space="0"/>
              <w:left w:val="single" w:color="222222" w:sz="6" w:space="0"/>
              <w:bottom w:val="single" w:color="222222" w:sz="6" w:space="0"/>
              <w:right w:val="single" w:color="222222" w:sz="6" w:space="0"/>
            </w:tcBorders>
          </w:tcPr>
          <w:p w14:paraId="6CC1A54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法律知识、内容鉴别能力、风险控制能力</w:t>
            </w:r>
          </w:p>
        </w:tc>
        <w:tc>
          <w:tcPr>
            <w:tcBorders>
              <w:top w:val="single" w:color="222222" w:sz="6" w:space="0"/>
              <w:left w:val="single" w:color="222222" w:sz="6" w:space="0"/>
              <w:bottom w:val="single" w:color="222222" w:sz="6" w:space="0"/>
              <w:right w:val="single" w:color="222222" w:sz="6" w:space="0"/>
            </w:tcBorders>
          </w:tcPr>
          <w:p w14:paraId="311BDF0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4500-7000元</w:t>
            </w:r>
          </w:p>
        </w:tc>
        <w:tc>
          <w:tcPr>
            <w:tcBorders>
              <w:top w:val="single" w:color="222222" w:sz="6" w:space="0"/>
              <w:left w:val="single" w:color="222222" w:sz="6" w:space="0"/>
              <w:bottom w:val="single" w:color="222222" w:sz="6" w:space="0"/>
              <w:right w:val="single" w:color="222222" w:sz="6" w:space="0"/>
            </w:tcBorders>
          </w:tcPr>
          <w:p w14:paraId="1489E77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审核主管、合规经理</w:t>
            </w:r>
          </w:p>
        </w:tc>
      </w:tr>
      <w:tr w14:paraId="2D75BC61">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192A45A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数据分析师</w:t>
            </w:r>
          </w:p>
        </w:tc>
        <w:tc>
          <w:tcPr>
            <w:tcBorders>
              <w:top w:val="single" w:color="222222" w:sz="6" w:space="0"/>
              <w:left w:val="single" w:color="222222" w:sz="6" w:space="0"/>
              <w:bottom w:val="single" w:color="222222" w:sz="6" w:space="0"/>
              <w:right w:val="single" w:color="222222" w:sz="6" w:space="0"/>
            </w:tcBorders>
          </w:tcPr>
          <w:p w14:paraId="779C137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分析用户行为数据，优化融媒体内容投放策略与运营效果</w:t>
            </w:r>
          </w:p>
        </w:tc>
        <w:tc>
          <w:tcPr>
            <w:tcBorders>
              <w:top w:val="single" w:color="222222" w:sz="6" w:space="0"/>
              <w:left w:val="single" w:color="222222" w:sz="6" w:space="0"/>
              <w:bottom w:val="single" w:color="222222" w:sz="6" w:space="0"/>
              <w:right w:val="single" w:color="222222" w:sz="6" w:space="0"/>
            </w:tcBorders>
          </w:tcPr>
          <w:p w14:paraId="1FCED98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数据挖掘能力、统计分析技能、业务理解能力</w:t>
            </w:r>
          </w:p>
        </w:tc>
        <w:tc>
          <w:tcPr>
            <w:tcBorders>
              <w:top w:val="single" w:color="222222" w:sz="6" w:space="0"/>
              <w:left w:val="single" w:color="222222" w:sz="6" w:space="0"/>
              <w:bottom w:val="single" w:color="222222" w:sz="6" w:space="0"/>
              <w:right w:val="single" w:color="222222" w:sz="6" w:space="0"/>
            </w:tcBorders>
          </w:tcPr>
          <w:p w14:paraId="39DB306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7000-12000元</w:t>
            </w:r>
          </w:p>
        </w:tc>
        <w:tc>
          <w:tcPr>
            <w:tcBorders>
              <w:top w:val="single" w:color="222222" w:sz="6" w:space="0"/>
              <w:left w:val="single" w:color="222222" w:sz="6" w:space="0"/>
              <w:bottom w:val="single" w:color="222222" w:sz="6" w:space="0"/>
              <w:right w:val="single" w:color="222222" w:sz="6" w:space="0"/>
            </w:tcBorders>
          </w:tcPr>
          <w:p w14:paraId="6B8558E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数据分析总监、首席数据官</w:t>
            </w:r>
          </w:p>
        </w:tc>
      </w:tr>
    </w:tbl>
    <w:p w14:paraId="14478171">
      <w:pPr>
        <w:pStyle w:val="4"/>
        <w:numPr>
          <w:ilvl w:val="0"/>
          <w:numId w:val="6"/>
        </w:numPr>
        <w:bidi w:val="0"/>
        <w:ind w:left="425" w:leftChars="0" w:hanging="425" w:firstLineChars="0"/>
        <w:rPr>
          <w:rFonts w:hint="eastAsia"/>
        </w:rPr>
      </w:pPr>
      <w:r>
        <w:rPr>
          <w:rFonts w:hint="eastAsia"/>
        </w:rPr>
        <w:t>岗位薪资水平与职业发展路径</w:t>
      </w:r>
    </w:p>
    <w:p w14:paraId="708CA9FB">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融媒体相关岗位的薪资水平受地域、企业规模、个人经验等多重因素影响，整体呈现与技术复合度正相关的特征。根据</w:t>
      </w:r>
      <w:r>
        <w:rPr>
          <w:rFonts w:hint="eastAsia" w:asciiTheme="minorEastAsia" w:hAnsiTheme="minorEastAsia" w:eastAsiaTheme="minorEastAsia" w:cstheme="minorEastAsia"/>
          <w:sz w:val="24"/>
          <w:lang w:eastAsia="zh-CN"/>
        </w:rPr>
        <w:t>202</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年行业调研数据，大专学历毕业生的起薪区间集中在4500-6500元/月，其中一线城市（如深圳、北京）薪资水平较高，初级新媒体运营岗位起薪可达6266元，而二三线城市同类岗位约为5000-5500元。技术类岗位（如融媒体技术专员、影视制作技术岗）因专业壁垒较高，起薪普遍高于纯运营类岗位约10%-15%。</w:t>
      </w:r>
    </w:p>
    <w:p w14:paraId="1966B1DC">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薪资增长与职业发展阶段紧密关联。以新媒体运营岗位为例，在深圳地区，1年以内经验者平均月薪为6266元；积累1-3年经验后，通过成功案例积累与技能提升，月薪可增长至7714元；3-5年经验者若能独立负责项目运营或团队管理，月薪可达10400元。技术类岗位的薪资增长曲线更为陡峭，熟练掌握虚拟场景搭建、三维影视包装等前沿技术者，5年后月薪可突破15000元。</w:t>
      </w:r>
    </w:p>
    <w:p w14:paraId="0ECA5745">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职业发展路径可分为纵向深化与横向拓展两类。纵向路径强调专业能力的层级跃迁，如融媒体编辑可沿“助理编辑—责任编辑—内容总监”路径发展，核心在于内容策划能力的提升与大型项目统筹经验的积累；新媒体运营岗位可通过“运营专员—运营经理—品牌策划总监”路径实现职业晋升，需持续优化数据驱动决策能力与商业转化效果。横向路径侧重跨领域能力融合，如融媒体技术专员可向产品经理方向转型，通过对用户需求的洞察将技术能力转化为产品设计能力；政务与公共服务岗可借助政策理解优势，向公共事务管理领域拓展。</w:t>
      </w:r>
    </w:p>
    <w:p w14:paraId="281E6D37">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以下图表通过可视化方式呈现了主要岗位的薪资梯度与发展路径关联性：</w:t>
      </w:r>
    </w:p>
    <w:p w14:paraId="4036BA7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p>
    <w:tbl>
      <w:tblPr>
        <w:tblStyle w:val="13"/>
        <w:tblW w:w="97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15"/>
      </w:tblGrid>
      <w:tr w14:paraId="3684D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vAlign w:val="center"/>
          </w:tcPr>
          <w:p w14:paraId="4D936773">
            <w:pPr>
              <w:pageBreakBefore w:val="0"/>
              <w:widowControl/>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drawing>
                <wp:anchor distT="0" distB="0" distL="0" distR="0" simplePos="0" relativeHeight="251659264" behindDoc="0" locked="0" layoutInCell="1" allowOverlap="1">
                  <wp:simplePos x="0" y="0"/>
                  <wp:positionH relativeFrom="column">
                    <wp:posOffset>0</wp:posOffset>
                  </wp:positionH>
                  <wp:positionV relativeFrom="paragraph">
                    <wp:posOffset>-3179445</wp:posOffset>
                  </wp:positionV>
                  <wp:extent cx="5732145" cy="3402965"/>
                  <wp:effectExtent l="0" t="0" r="0" b="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a:stretch>
                            <a:fillRect/>
                          </a:stretch>
                        </pic:blipFill>
                        <pic:spPr>
                          <a:xfrm>
                            <a:off x="0" y="0"/>
                            <a:ext cx="5732145" cy="3403461"/>
                          </a:xfrm>
                          <a:prstGeom prst="rect">
                            <a:avLst/>
                          </a:prstGeom>
                        </pic:spPr>
                      </pic:pic>
                    </a:graphicData>
                  </a:graphic>
                </wp:anchor>
              </w:drawing>
            </w:r>
          </w:p>
        </w:tc>
      </w:tr>
      <w:tr w14:paraId="3063A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vAlign w:val="center"/>
          </w:tcPr>
          <w:p w14:paraId="28BD890A">
            <w:pPr>
              <w:pageBreakBefore w:val="0"/>
              <w:widowControl/>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融媒体岗位薪资与发展路径</w:t>
            </w:r>
          </w:p>
        </w:tc>
      </w:tr>
    </w:tbl>
    <w:p w14:paraId="5E3B7FB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p>
    <w:p w14:paraId="1D81C1E7">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值得注意的是，职业发展过程中证书与继续教育的作用显著。例如，获得“全媒体运营师”职业技能等级证书的从业者，薪资竞争力提升约8%-12%；掌握UI界面设计、交互界面设计等跨领域技能者，更易进入互联网大厂的核心技术团队。此外，随着AI技术渗透行业，具备人机协作能力（如利用AI工具提升内容生产效率）的从业者将在职业竞争中占据优势。</w:t>
      </w:r>
    </w:p>
    <w:p w14:paraId="384EC74C">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总体而言，融媒体技术与运营专业毕业生的职业发展空间广阔，但需注意持续跟踪技术迭代趋势（如5G+4K/8K直播、元宇宙场景应用），通过项目实践与技能更新保持职场竞争力。行业预测显示，未来五年内兼具技术应用能力与运营思维的高素质人才，晋升至管理层的平均周期将缩短至4-6年，显著低于传统媒体行业。</w:t>
      </w:r>
    </w:p>
    <w:p w14:paraId="36A57734">
      <w:pPr>
        <w:pStyle w:val="3"/>
        <w:pageBreakBefore w:val="0"/>
        <w:widowControl/>
        <w:numPr>
          <w:ilvl w:val="0"/>
          <w:numId w:val="4"/>
        </w:numPr>
        <w:kinsoku/>
        <w:wordWrap/>
        <w:overflowPunct/>
        <w:topLinePunct w:val="0"/>
        <w:autoSpaceDE/>
        <w:autoSpaceDN/>
        <w:bidi w:val="0"/>
        <w:adjustRightInd/>
        <w:snapToGrid/>
        <w:spacing w:line="440" w:lineRule="exact"/>
        <w:ind w:left="-420" w:leftChars="0" w:firstLine="420" w:firstLineChars="0"/>
        <w:textAlignment w:val="auto"/>
        <w:rPr>
          <w:rFonts w:hint="eastAsia" w:asciiTheme="minorEastAsia" w:hAnsiTheme="minorEastAsia" w:eastAsiaTheme="minorEastAsia" w:cstheme="minorEastAsia"/>
        </w:rPr>
      </w:pPr>
      <w:bookmarkStart w:id="11" w:name="_Toc8810"/>
      <w:r>
        <w:rPr>
          <w:rFonts w:hint="eastAsia" w:asciiTheme="minorEastAsia" w:hAnsiTheme="minorEastAsia" w:eastAsiaTheme="minorEastAsia" w:cstheme="minorEastAsia"/>
        </w:rPr>
        <w:t>岗位能力要求分析</w:t>
      </w:r>
      <w:bookmarkEnd w:id="11"/>
    </w:p>
    <w:p w14:paraId="53C2CDDE">
      <w:pPr>
        <w:pStyle w:val="4"/>
        <w:pageBreakBefore w:val="0"/>
        <w:widowControl/>
        <w:numPr>
          <w:ilvl w:val="0"/>
          <w:numId w:val="7"/>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知识体系要求分析</w:t>
      </w:r>
    </w:p>
    <w:p w14:paraId="7AA397D2">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融媒体技术与运营专业作为新兴的交叉学科，其专业知识体系呈现出明显的跨学科性和技术前沿性特征。根据行业调研和文献分析，该专业所需的知识体系主要包括三个层次：基础理论层、技术支撑层和应用实践层。</w:t>
      </w:r>
    </w:p>
    <w:p w14:paraId="30309F67">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基础理论层涵盖新闻传播学、传媒经济学、数字媒体艺术基础等学科知识。戴刚（2023）指出，融媒体时代的记者编辑必须掌握坚实的新闻传播理论，包括信息传播规律、受众心理学和媒介伦理法规等基础内容。这一知识层面为学生奠定坚实的职业理论基础，使其能够理解媒体行业的本质规律和社会责任。</w:t>
      </w:r>
    </w:p>
    <w:p w14:paraId="55EC3083">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技术支撑层是本专业知识体系的核心组成部分，主要包括数字媒体技术、计算机应用技术和网络技术三大板块。数字媒体技术涉及图形图像处理、音视频采集与编辑、动画制作等技术原理；计算机应用技术包括数据库管理、编程基础、软件工程等知识；网络技术则涵盖网络协议、数据传输、平台架构等内容。阮雨婷（</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）在研究数字媒体技术应用专业群建设时强调，技术支撑知识必须与行业发展趋势保持同步，特别是要关注5G、人工智能、大数据等新兴技术在媒体领域的应用前景。</w:t>
      </w:r>
    </w:p>
    <w:p w14:paraId="23B27002">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应用实践层面向具体的岗位需求，包括交互界面设计、商业摄影、虚拟场景搭建、影视剪辑、H5动画制作等14项核心技术课程对应的专业知识。这一层面的知识具有强烈的实践导向和岗位针对性，要求学生不仅理解技术原理，更要掌握其在真实工作场景中的应用方法。例如，在虚拟场景搭建技术课程中，学生需要掌握三维建模、灯光渲染、实时渲染引擎等专业知识；在融媒体制作发布实训中，则需要理解多平台内容分发、跨终端适配、发布流程管理等系统化知识。</w:t>
      </w:r>
    </w:p>
    <w:p w14:paraId="23A55D7C">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专业知识体系的构建还需要注重知识的更新迭代机制。邓安祺（2020）在研究新媒体编辑职业素养时发现，媒体技术更新速度极快，专业知识体系必须建立动态调整机制，及时纳入行业最新技术标准和实践成果。这就要求专业课程设置保持一定的灵活性，建立与行业企业的定期交流机制，确保专业知识内容与行业发展同步。</w:t>
      </w:r>
    </w:p>
    <w:p w14:paraId="5F3D40FE">
      <w:pPr>
        <w:pStyle w:val="4"/>
        <w:pageBreakBefore w:val="0"/>
        <w:widowControl/>
        <w:numPr>
          <w:ilvl w:val="0"/>
          <w:numId w:val="7"/>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核心技能与操作能力要求</w:t>
      </w:r>
    </w:p>
    <w:p w14:paraId="60C6B1AE">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融媒体技术与运营专业的核心技能与操作能力要求呈现出多元化、复合化的特点，根据岗位需求可以分为内容生产技能、技术应用技能和运营管理技能三大类别。</w:t>
      </w:r>
    </w:p>
    <w:p w14:paraId="2E360CC0">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内容生产技能包括采、写、编、评、摄、录、播等传统媒体技能，以及适应融媒体环境的新技能要求。记者编辑岗位需要掌握全媒体采编能力，能够同时为纸媒、网站、移动端等不同平台生产内容；广播节目编辑需要具备音频剪辑、直播控场、多平台联动运营等技能；电视新闻主播则需掌握多机位配合、突发情况应对、新媒体互动等能力（翟慧，2018）。在技术课程层面，商业摄影技术课程培养学生产品摄影、人像摄影、新闻摄影等实操能力；影视剪辑实训则强调非线性编辑、特效合成、多格式输出等技能训练。</w:t>
      </w:r>
    </w:p>
    <w:p w14:paraId="61BEFEFB">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技术应用技能是融媒体专业人才区别于传统媒体人才的核心能力，主要体现在对各种媒体技术和工具的熟练运用上。魏保东（2022）指出，融媒体时代的新闻采编人员必须掌握移动采集、云端编辑、多平台发布等技术操作能力。具体到14项核心技术课程，H5动画制作技术课程要求学生掌握交互式动画设计与开发技能；音视频处理技术课程培养音频编辑、视频编码、流媒体处理等能力；720全景拍摄与缝合技术则涉及全景拍摄、图像拼接、虚拟漫游等技术操作；三维影视包装与片头设计需要学生掌握三维建模、材质贴图、动态设计等高级技能。</w:t>
      </w:r>
    </w:p>
    <w:p w14:paraId="5C025CA6">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运营管理技能是融媒体人才能力结构中的新兴组成部分，包括用户分析、内容策划、平台运营、效果评估等方面。融媒体运营专员需要掌握流量监测、精准推送、KOL管理等技能；内容审核员则需要具备多模态内容识别、风险等级判定等能力。在课程设置上，直播技术与运营课程培养学生直播策划、现场执行、数据复盘等运营能力；短视频策划与制作课程则强调内容策划、用户画像分析、传播效果评估等技能训练。</w:t>
      </w:r>
    </w:p>
    <w:p w14:paraId="549660D1">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特别需要指出的是，核心技能的训练必须建立在真实项目基础上。刘嘉（2018）在研究中发现，单纯的技能训练难以满足岗位需求，必须通过项目化教学让学生在实际工作场景中应用各项技能。因此，融媒体制作发布实训等综合性课程在技能培养体系中具有关键地位，它们能够帮助学生整合各项技能，形成完整的融媒体内容生产和运营能力。</w:t>
      </w:r>
    </w:p>
    <w:p w14:paraId="61FE4046">
      <w:pPr>
        <w:pStyle w:val="4"/>
        <w:pageBreakBefore w:val="0"/>
        <w:widowControl/>
        <w:numPr>
          <w:ilvl w:val="0"/>
          <w:numId w:val="7"/>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职业素养与综合素质要求</w:t>
      </w:r>
    </w:p>
    <w:p w14:paraId="25CC88CF">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职业素养与综合素质是融媒体专业人才可持续发展的重要保障，包括职业道德、职业意识和职业行为习惯等多个维度。根据行业调研，融媒体技术与运营专业人才所需的职业素养主要包括政治素养、专业精神、创新意识和团队协作能力四个方面。</w:t>
      </w:r>
    </w:p>
    <w:p w14:paraId="66678C4E">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政治素养是融媒体人才的首要素质要求。崔颖贺（</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在研究中指出，媒体工作者必须具有坚定的政治立场、正确的价值观和敏锐的政治鉴别力。对于大专层次的融媒体专业学生，政治素养的培养尤为重要，需要通过课程思政、实践教学等多种途径，培养学生对社会主义核心价值观的认同和实践能力。内容审核员岗位尤其需要这方面的素养，要求从业人员政治立场坚定、具备敏锐的内容风险识别能力。</w:t>
      </w:r>
    </w:p>
    <w:p w14:paraId="2DF35D12">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专业精神体现在对媒体行业规范和专业标准的遵守上。记者编辑需要具备新闻伦理意识和社会责任感；新媒体编辑需要树立版权意识和用户导向思维；数字媒体技术员则需要培养严谨的工作态度和信息安全意识（戴刚，2023）。在专业教学中，需要通过引入行业案例、建立质量标准、实施过程考核等方式，培养学生的专业精神和质量意识。例如，在UI界面设计课程中，除了技术技能训练外，还需要强调用户体验、可访问性、设计伦理等专业规范的培养。</w:t>
      </w:r>
    </w:p>
    <w:p w14:paraId="71DDEE19">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创新意识是融媒体人才的核心竞争力。融媒体时代技术和业态快速变革，要求从业人员能够不断创新内容形式、传播方式和工作模式。邓安祺（2020）研究发现，优秀的新媒体编辑往往具有强烈的创新意识和学习能力，能够快速适应技术变化和用户需求变化。在人才培养中，需要通过项目式学习、竞赛参与、创新创业实践等方式，激发学生的创新思维和解决问题的能力。虚拟场景搭建技术、影视特效制作与合成等课程尤其适合开展创新性教学，鼓励学生在技术应用中探索新的表达方式和艺术形式。</w:t>
      </w:r>
    </w:p>
    <w:p w14:paraId="6037385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团队协作能力是融媒体项目实施的必备素质。融媒体内容生产通常需要不同专业背景的人员协作完成，这就要求从业人员具备跨专业沟通、协同工作和项目管理的能力。贾文捷（2015）在研究高职教师信息素养时指出，团队协作能力的培养需要建立在真实项目基础上，通过分组合作、角色轮换等方式让学生体验不同岗位的工作要求和协作模式。在影视剪辑实训、融媒体制作发布实训等综合性课程中，应当刻意设计团队合作环节，培养学生的工作协调能力和团队精神。</w:t>
      </w:r>
    </w:p>
    <w:p w14:paraId="4BF6192A">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此外，融媒体专业人才还需要具备良好的心理素质和抗压能力。媒体行业工作节奏快、压力大，特别是在新闻采编、直播运营等岗位，从业人员需要能够应对突发事件和工作压力。翟慧（2018）在研究广播节目编辑素养时强调，心理调适能力和应急处理能力是职业素养的重要组成部分。因此，在人才培养过程中，需要关注学生的心理健康教育，通过模拟真实工作场景、压力测试等方式，增强学生的心理承受能力和应变能力。</w:t>
      </w:r>
    </w:p>
    <w:tbl>
      <w:tblPr>
        <w:tblStyle w:val="13"/>
        <w:tblW w:w="5000" w:type="pct"/>
        <w:tblInd w:w="0" w:type="dxa"/>
        <w:tblLayout w:type="autofit"/>
        <w:tblCellMar>
          <w:top w:w="0" w:type="dxa"/>
          <w:left w:w="108" w:type="dxa"/>
          <w:bottom w:w="0" w:type="dxa"/>
          <w:right w:w="108" w:type="dxa"/>
        </w:tblCellMar>
      </w:tblPr>
      <w:tblGrid>
        <w:gridCol w:w="828"/>
        <w:gridCol w:w="1438"/>
        <w:gridCol w:w="1686"/>
        <w:gridCol w:w="1871"/>
        <w:gridCol w:w="1446"/>
        <w:gridCol w:w="1253"/>
      </w:tblGrid>
      <w:tr w14:paraId="3F24612F">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004132E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 w:val="24"/>
              </w:rPr>
              <w:t>岗位类别</w:t>
            </w:r>
          </w:p>
        </w:tc>
        <w:tc>
          <w:tcPr>
            <w:tcBorders>
              <w:top w:val="single" w:color="222222" w:sz="6" w:space="0"/>
              <w:left w:val="single" w:color="222222" w:sz="6" w:space="0"/>
              <w:bottom w:val="single" w:color="222222" w:sz="6" w:space="0"/>
              <w:right w:val="single" w:color="222222" w:sz="6" w:space="0"/>
            </w:tcBorders>
          </w:tcPr>
          <w:p w14:paraId="452EF9D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 w:val="24"/>
              </w:rPr>
              <w:t>专业知识体系</w:t>
            </w:r>
          </w:p>
        </w:tc>
        <w:tc>
          <w:tcPr>
            <w:tcBorders>
              <w:top w:val="single" w:color="222222" w:sz="6" w:space="0"/>
              <w:left w:val="single" w:color="222222" w:sz="6" w:space="0"/>
              <w:bottom w:val="single" w:color="222222" w:sz="6" w:space="0"/>
              <w:right w:val="single" w:color="222222" w:sz="6" w:space="0"/>
            </w:tcBorders>
          </w:tcPr>
          <w:p w14:paraId="0247D70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 w:val="24"/>
              </w:rPr>
              <w:t>核心技能与操作能力</w:t>
            </w:r>
          </w:p>
        </w:tc>
        <w:tc>
          <w:tcPr>
            <w:tcBorders>
              <w:top w:val="single" w:color="222222" w:sz="6" w:space="0"/>
              <w:left w:val="single" w:color="222222" w:sz="6" w:space="0"/>
              <w:bottom w:val="single" w:color="222222" w:sz="6" w:space="0"/>
              <w:right w:val="single" w:color="222222" w:sz="6" w:space="0"/>
            </w:tcBorders>
          </w:tcPr>
          <w:p w14:paraId="594AFE6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 w:val="24"/>
              </w:rPr>
              <w:t>职业素养要求</w:t>
            </w:r>
          </w:p>
        </w:tc>
        <w:tc>
          <w:tcPr>
            <w:tcBorders>
              <w:top w:val="single" w:color="222222" w:sz="6" w:space="0"/>
              <w:left w:val="single" w:color="222222" w:sz="6" w:space="0"/>
              <w:bottom w:val="single" w:color="222222" w:sz="6" w:space="0"/>
              <w:right w:val="single" w:color="222222" w:sz="6" w:space="0"/>
            </w:tcBorders>
          </w:tcPr>
          <w:p w14:paraId="102B942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 w:val="24"/>
              </w:rPr>
              <w:t>相关课程/培训模块</w:t>
            </w:r>
          </w:p>
        </w:tc>
        <w:tc>
          <w:tcPr>
            <w:tcBorders>
              <w:top w:val="single" w:color="222222" w:sz="6" w:space="0"/>
              <w:left w:val="single" w:color="222222" w:sz="6" w:space="0"/>
              <w:bottom w:val="single" w:color="222222" w:sz="6" w:space="0"/>
              <w:right w:val="single" w:color="222222" w:sz="6" w:space="0"/>
            </w:tcBorders>
          </w:tcPr>
          <w:p w14:paraId="3F54CD9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 w:val="24"/>
              </w:rPr>
              <w:t>典型应用场景</w:t>
            </w:r>
          </w:p>
        </w:tc>
      </w:tr>
      <w:tr w14:paraId="051959E2">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407F1BA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记者编辑</w:t>
            </w:r>
          </w:p>
        </w:tc>
        <w:tc>
          <w:tcPr>
            <w:tcBorders>
              <w:top w:val="single" w:color="222222" w:sz="6" w:space="0"/>
              <w:left w:val="single" w:color="222222" w:sz="6" w:space="0"/>
              <w:bottom w:val="single" w:color="222222" w:sz="6" w:space="0"/>
              <w:right w:val="single" w:color="222222" w:sz="6" w:space="0"/>
            </w:tcBorders>
          </w:tcPr>
          <w:p w14:paraId="688BA1B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新闻传播理论、融媒体技术基础</w:t>
            </w:r>
          </w:p>
        </w:tc>
        <w:tc>
          <w:tcPr>
            <w:tcBorders>
              <w:top w:val="single" w:color="222222" w:sz="6" w:space="0"/>
              <w:left w:val="single" w:color="222222" w:sz="6" w:space="0"/>
              <w:bottom w:val="single" w:color="222222" w:sz="6" w:space="0"/>
              <w:right w:val="single" w:color="222222" w:sz="6" w:space="0"/>
            </w:tcBorders>
          </w:tcPr>
          <w:p w14:paraId="0ADE302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全媒体采编、跨平台内容分发、数据分析</w:t>
            </w:r>
          </w:p>
        </w:tc>
        <w:tc>
          <w:tcPr>
            <w:tcBorders>
              <w:top w:val="single" w:color="222222" w:sz="6" w:space="0"/>
              <w:left w:val="single" w:color="222222" w:sz="6" w:space="0"/>
              <w:bottom w:val="single" w:color="222222" w:sz="6" w:space="0"/>
              <w:right w:val="single" w:color="222222" w:sz="6" w:space="0"/>
            </w:tcBorders>
          </w:tcPr>
          <w:p w14:paraId="226FB87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新闻伦理、社会责任意识、快速反应能力</w:t>
            </w:r>
          </w:p>
        </w:tc>
        <w:tc>
          <w:tcPr>
            <w:tcBorders>
              <w:top w:val="single" w:color="222222" w:sz="6" w:space="0"/>
              <w:left w:val="single" w:color="222222" w:sz="6" w:space="0"/>
              <w:bottom w:val="single" w:color="222222" w:sz="6" w:space="0"/>
              <w:right w:val="single" w:color="222222" w:sz="6" w:space="0"/>
            </w:tcBorders>
          </w:tcPr>
          <w:p w14:paraId="50AC9B6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新闻写作、新媒体运营</w:t>
            </w:r>
          </w:p>
        </w:tc>
        <w:tc>
          <w:tcPr>
            <w:tcBorders>
              <w:top w:val="single" w:color="222222" w:sz="6" w:space="0"/>
              <w:left w:val="single" w:color="222222" w:sz="6" w:space="0"/>
              <w:bottom w:val="single" w:color="222222" w:sz="6" w:space="0"/>
              <w:right w:val="single" w:color="222222" w:sz="6" w:space="0"/>
            </w:tcBorders>
          </w:tcPr>
          <w:p w14:paraId="402A41C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新闻生产、舆情管理</w:t>
            </w:r>
          </w:p>
        </w:tc>
      </w:tr>
      <w:tr w14:paraId="2AA6C2A0">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22604C1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新媒体编辑</w:t>
            </w:r>
          </w:p>
        </w:tc>
        <w:tc>
          <w:tcPr>
            <w:tcBorders>
              <w:top w:val="single" w:color="222222" w:sz="6" w:space="0"/>
              <w:left w:val="single" w:color="222222" w:sz="6" w:space="0"/>
              <w:bottom w:val="single" w:color="222222" w:sz="6" w:space="0"/>
              <w:right w:val="single" w:color="222222" w:sz="6" w:space="0"/>
            </w:tcBorders>
          </w:tcPr>
          <w:p w14:paraId="0B8FFFA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数字媒体技术、视觉传达设计</w:t>
            </w:r>
          </w:p>
        </w:tc>
        <w:tc>
          <w:tcPr>
            <w:tcBorders>
              <w:top w:val="single" w:color="222222" w:sz="6" w:space="0"/>
              <w:left w:val="single" w:color="222222" w:sz="6" w:space="0"/>
              <w:bottom w:val="single" w:color="222222" w:sz="6" w:space="0"/>
              <w:right w:val="single" w:color="222222" w:sz="6" w:space="0"/>
            </w:tcBorders>
          </w:tcPr>
          <w:p w14:paraId="3E17689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图文排版、短视频制作、H5开发</w:t>
            </w:r>
          </w:p>
        </w:tc>
        <w:tc>
          <w:tcPr>
            <w:tcBorders>
              <w:top w:val="single" w:color="222222" w:sz="6" w:space="0"/>
              <w:left w:val="single" w:color="222222" w:sz="6" w:space="0"/>
              <w:bottom w:val="single" w:color="222222" w:sz="6" w:space="0"/>
              <w:right w:val="single" w:color="222222" w:sz="6" w:space="0"/>
            </w:tcBorders>
          </w:tcPr>
          <w:p w14:paraId="39D45A7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创新思维、版权意识、用户需求洞察</w:t>
            </w:r>
          </w:p>
        </w:tc>
        <w:tc>
          <w:tcPr>
            <w:tcBorders>
              <w:top w:val="single" w:color="222222" w:sz="6" w:space="0"/>
              <w:left w:val="single" w:color="222222" w:sz="6" w:space="0"/>
              <w:bottom w:val="single" w:color="222222" w:sz="6" w:space="0"/>
              <w:right w:val="single" w:color="222222" w:sz="6" w:space="0"/>
            </w:tcBorders>
          </w:tcPr>
          <w:p w14:paraId="2A1DC01D">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平面设计、交互设计</w:t>
            </w:r>
          </w:p>
        </w:tc>
        <w:tc>
          <w:tcPr>
            <w:tcBorders>
              <w:top w:val="single" w:color="222222" w:sz="6" w:space="0"/>
              <w:left w:val="single" w:color="222222" w:sz="6" w:space="0"/>
              <w:bottom w:val="single" w:color="222222" w:sz="6" w:space="0"/>
              <w:right w:val="single" w:color="222222" w:sz="6" w:space="0"/>
            </w:tcBorders>
          </w:tcPr>
          <w:p w14:paraId="37EF510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内容创作、品牌传播</w:t>
            </w:r>
          </w:p>
        </w:tc>
      </w:tr>
      <w:tr w14:paraId="65917FC2">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0B722EE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广播节目编辑</w:t>
            </w:r>
          </w:p>
        </w:tc>
        <w:tc>
          <w:tcPr>
            <w:tcBorders>
              <w:top w:val="single" w:color="222222" w:sz="6" w:space="0"/>
              <w:left w:val="single" w:color="222222" w:sz="6" w:space="0"/>
              <w:bottom w:val="single" w:color="222222" w:sz="6" w:space="0"/>
              <w:right w:val="single" w:color="222222" w:sz="6" w:space="0"/>
            </w:tcBorders>
          </w:tcPr>
          <w:p w14:paraId="5DBE2AC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音频处理技术、播音主持基础</w:t>
            </w:r>
          </w:p>
        </w:tc>
        <w:tc>
          <w:tcPr>
            <w:tcBorders>
              <w:top w:val="single" w:color="222222" w:sz="6" w:space="0"/>
              <w:left w:val="single" w:color="222222" w:sz="6" w:space="0"/>
              <w:bottom w:val="single" w:color="222222" w:sz="6" w:space="0"/>
              <w:right w:val="single" w:color="222222" w:sz="6" w:space="0"/>
            </w:tcBorders>
          </w:tcPr>
          <w:p w14:paraId="03A7672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音频剪辑、直播控场、多平台联动运营</w:t>
            </w:r>
          </w:p>
        </w:tc>
        <w:tc>
          <w:tcPr>
            <w:tcBorders>
              <w:top w:val="single" w:color="222222" w:sz="6" w:space="0"/>
              <w:left w:val="single" w:color="222222" w:sz="6" w:space="0"/>
              <w:bottom w:val="single" w:color="222222" w:sz="6" w:space="0"/>
              <w:right w:val="single" w:color="222222" w:sz="6" w:space="0"/>
            </w:tcBorders>
          </w:tcPr>
          <w:p w14:paraId="6E5DA32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声音审美能力、语言规范意识、应急处理能力</w:t>
            </w:r>
          </w:p>
        </w:tc>
        <w:tc>
          <w:tcPr>
            <w:tcBorders>
              <w:top w:val="single" w:color="222222" w:sz="6" w:space="0"/>
              <w:left w:val="single" w:color="222222" w:sz="6" w:space="0"/>
              <w:bottom w:val="single" w:color="222222" w:sz="6" w:space="0"/>
              <w:right w:val="single" w:color="222222" w:sz="6" w:space="0"/>
            </w:tcBorders>
          </w:tcPr>
          <w:p w14:paraId="096089C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音频制作、节目策划</w:t>
            </w:r>
          </w:p>
        </w:tc>
        <w:tc>
          <w:tcPr>
            <w:tcBorders>
              <w:top w:val="single" w:color="222222" w:sz="6" w:space="0"/>
              <w:left w:val="single" w:color="222222" w:sz="6" w:space="0"/>
              <w:bottom w:val="single" w:color="222222" w:sz="6" w:space="0"/>
              <w:right w:val="single" w:color="222222" w:sz="6" w:space="0"/>
            </w:tcBorders>
          </w:tcPr>
          <w:p w14:paraId="2099BB0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电台节目、网络音频平台</w:t>
            </w:r>
          </w:p>
        </w:tc>
      </w:tr>
      <w:tr w14:paraId="665D3034">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17A4BE2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新闻采编人员</w:t>
            </w:r>
          </w:p>
        </w:tc>
        <w:tc>
          <w:tcPr>
            <w:tcBorders>
              <w:top w:val="single" w:color="222222" w:sz="6" w:space="0"/>
              <w:left w:val="single" w:color="222222" w:sz="6" w:space="0"/>
              <w:bottom w:val="single" w:color="222222" w:sz="6" w:space="0"/>
              <w:right w:val="single" w:color="222222" w:sz="6" w:space="0"/>
            </w:tcBorders>
          </w:tcPr>
          <w:p w14:paraId="08E2F50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采访技巧、信息核实方法论</w:t>
            </w:r>
          </w:p>
        </w:tc>
        <w:tc>
          <w:tcPr>
            <w:tcBorders>
              <w:top w:val="single" w:color="222222" w:sz="6" w:space="0"/>
              <w:left w:val="single" w:color="222222" w:sz="6" w:space="0"/>
              <w:bottom w:val="single" w:color="222222" w:sz="6" w:space="0"/>
              <w:right w:val="single" w:color="222222" w:sz="6" w:space="0"/>
            </w:tcBorders>
          </w:tcPr>
          <w:p w14:paraId="340FFA8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现场报道、多信源交叉验证、移动端发布</w:t>
            </w:r>
          </w:p>
        </w:tc>
        <w:tc>
          <w:tcPr>
            <w:tcBorders>
              <w:top w:val="single" w:color="222222" w:sz="6" w:space="0"/>
              <w:left w:val="single" w:color="222222" w:sz="6" w:space="0"/>
              <w:bottom w:val="single" w:color="222222" w:sz="6" w:space="0"/>
              <w:right w:val="single" w:color="222222" w:sz="6" w:space="0"/>
            </w:tcBorders>
          </w:tcPr>
          <w:p w14:paraId="4B702ED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政治敏感性、事实核查能力、抗压能力</w:t>
            </w:r>
          </w:p>
        </w:tc>
        <w:tc>
          <w:tcPr>
            <w:tcBorders>
              <w:top w:val="single" w:color="222222" w:sz="6" w:space="0"/>
              <w:left w:val="single" w:color="222222" w:sz="6" w:space="0"/>
              <w:bottom w:val="single" w:color="222222" w:sz="6" w:space="0"/>
              <w:right w:val="single" w:color="222222" w:sz="6" w:space="0"/>
            </w:tcBorders>
          </w:tcPr>
          <w:p w14:paraId="42709BA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新闻采访、媒介法规</w:t>
            </w:r>
          </w:p>
        </w:tc>
        <w:tc>
          <w:tcPr>
            <w:tcBorders>
              <w:top w:val="single" w:color="222222" w:sz="6" w:space="0"/>
              <w:left w:val="single" w:color="222222" w:sz="6" w:space="0"/>
              <w:bottom w:val="single" w:color="222222" w:sz="6" w:space="0"/>
              <w:right w:val="single" w:color="222222" w:sz="6" w:space="0"/>
            </w:tcBorders>
          </w:tcPr>
          <w:p w14:paraId="6D66A59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突发事件报道、专题策划</w:t>
            </w:r>
          </w:p>
        </w:tc>
      </w:tr>
      <w:tr w14:paraId="5260AB36">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24133A9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数字媒体技术员</w:t>
            </w:r>
          </w:p>
        </w:tc>
        <w:tc>
          <w:tcPr>
            <w:tcBorders>
              <w:top w:val="single" w:color="222222" w:sz="6" w:space="0"/>
              <w:left w:val="single" w:color="222222" w:sz="6" w:space="0"/>
              <w:bottom w:val="single" w:color="222222" w:sz="6" w:space="0"/>
              <w:right w:val="single" w:color="222222" w:sz="6" w:space="0"/>
            </w:tcBorders>
          </w:tcPr>
          <w:p w14:paraId="7DA4B24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数据库管理、编程基础</w:t>
            </w:r>
          </w:p>
        </w:tc>
        <w:tc>
          <w:tcPr>
            <w:tcBorders>
              <w:top w:val="single" w:color="222222" w:sz="6" w:space="0"/>
              <w:left w:val="single" w:color="222222" w:sz="6" w:space="0"/>
              <w:bottom w:val="single" w:color="222222" w:sz="6" w:space="0"/>
              <w:right w:val="single" w:color="222222" w:sz="6" w:space="0"/>
            </w:tcBorders>
          </w:tcPr>
          <w:p w14:paraId="4742FBB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数据处理、系统维护、API接口应用</w:t>
            </w:r>
          </w:p>
        </w:tc>
        <w:tc>
          <w:tcPr>
            <w:tcBorders>
              <w:top w:val="single" w:color="222222" w:sz="6" w:space="0"/>
              <w:left w:val="single" w:color="222222" w:sz="6" w:space="0"/>
              <w:bottom w:val="single" w:color="222222" w:sz="6" w:space="0"/>
              <w:right w:val="single" w:color="222222" w:sz="6" w:space="0"/>
            </w:tcBorders>
          </w:tcPr>
          <w:p w14:paraId="4EC2D90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严谨的工作态度、信息安全意识、团队协作能力</w:t>
            </w:r>
          </w:p>
        </w:tc>
        <w:tc>
          <w:tcPr>
            <w:tcBorders>
              <w:top w:val="single" w:color="222222" w:sz="6" w:space="0"/>
              <w:left w:val="single" w:color="222222" w:sz="6" w:space="0"/>
              <w:bottom w:val="single" w:color="222222" w:sz="6" w:space="0"/>
              <w:right w:val="single" w:color="222222" w:sz="6" w:space="0"/>
            </w:tcBorders>
          </w:tcPr>
          <w:p w14:paraId="3A53E08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数据库应用、Python编程</w:t>
            </w:r>
          </w:p>
        </w:tc>
        <w:tc>
          <w:tcPr>
            <w:tcBorders>
              <w:top w:val="single" w:color="222222" w:sz="6" w:space="0"/>
              <w:left w:val="single" w:color="222222" w:sz="6" w:space="0"/>
              <w:bottom w:val="single" w:color="222222" w:sz="6" w:space="0"/>
              <w:right w:val="single" w:color="222222" w:sz="6" w:space="0"/>
            </w:tcBorders>
          </w:tcPr>
          <w:p w14:paraId="26661F4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数据可视化、平台运维</w:t>
            </w:r>
          </w:p>
        </w:tc>
      </w:tr>
      <w:tr w14:paraId="0EEBE857">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49E3782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电视新闻主播</w:t>
            </w:r>
          </w:p>
        </w:tc>
        <w:tc>
          <w:tcPr>
            <w:tcBorders>
              <w:top w:val="single" w:color="222222" w:sz="6" w:space="0"/>
              <w:left w:val="single" w:color="222222" w:sz="6" w:space="0"/>
              <w:bottom w:val="single" w:color="222222" w:sz="6" w:space="0"/>
              <w:right w:val="single" w:color="222222" w:sz="6" w:space="0"/>
            </w:tcBorders>
          </w:tcPr>
          <w:p w14:paraId="7558D22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播音发声学、即兴表达技巧</w:t>
            </w:r>
          </w:p>
        </w:tc>
        <w:tc>
          <w:tcPr>
            <w:tcBorders>
              <w:top w:val="single" w:color="222222" w:sz="6" w:space="0"/>
              <w:left w:val="single" w:color="222222" w:sz="6" w:space="0"/>
              <w:bottom w:val="single" w:color="222222" w:sz="6" w:space="0"/>
              <w:right w:val="single" w:color="222222" w:sz="6" w:space="0"/>
            </w:tcBorders>
          </w:tcPr>
          <w:p w14:paraId="70CC416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多机位配合、突发情况应对、新媒体互动</w:t>
            </w:r>
          </w:p>
        </w:tc>
        <w:tc>
          <w:tcPr>
            <w:tcBorders>
              <w:top w:val="single" w:color="222222" w:sz="6" w:space="0"/>
              <w:left w:val="single" w:color="222222" w:sz="6" w:space="0"/>
              <w:bottom w:val="single" w:color="222222" w:sz="6" w:space="0"/>
              <w:right w:val="single" w:color="222222" w:sz="6" w:space="0"/>
            </w:tcBorders>
          </w:tcPr>
          <w:p w14:paraId="6527B84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形象管理能力、政治素养、文化底蕴</w:t>
            </w:r>
          </w:p>
        </w:tc>
        <w:tc>
          <w:tcPr>
            <w:tcBorders>
              <w:top w:val="single" w:color="222222" w:sz="6" w:space="0"/>
              <w:left w:val="single" w:color="222222" w:sz="6" w:space="0"/>
              <w:bottom w:val="single" w:color="222222" w:sz="6" w:space="0"/>
              <w:right w:val="single" w:color="222222" w:sz="6" w:space="0"/>
            </w:tcBorders>
          </w:tcPr>
          <w:p w14:paraId="517D364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播音主持、媒体礼仪</w:t>
            </w:r>
          </w:p>
        </w:tc>
        <w:tc>
          <w:tcPr>
            <w:tcBorders>
              <w:top w:val="single" w:color="222222" w:sz="6" w:space="0"/>
              <w:left w:val="single" w:color="222222" w:sz="6" w:space="0"/>
              <w:bottom w:val="single" w:color="222222" w:sz="6" w:space="0"/>
              <w:right w:val="single" w:color="222222" w:sz="6" w:space="0"/>
            </w:tcBorders>
          </w:tcPr>
          <w:p w14:paraId="083E773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新闻直播、专题报道</w:t>
            </w:r>
          </w:p>
        </w:tc>
      </w:tr>
      <w:tr w14:paraId="22E0219A">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0B97193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融媒体运营专员</w:t>
            </w:r>
          </w:p>
        </w:tc>
        <w:tc>
          <w:tcPr>
            <w:tcBorders>
              <w:top w:val="single" w:color="222222" w:sz="6" w:space="0"/>
              <w:left w:val="single" w:color="222222" w:sz="6" w:space="0"/>
              <w:bottom w:val="single" w:color="222222" w:sz="6" w:space="0"/>
              <w:right w:val="single" w:color="222222" w:sz="6" w:space="0"/>
            </w:tcBorders>
          </w:tcPr>
          <w:p w14:paraId="606192C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平台算法机制、用户行为分析</w:t>
            </w:r>
          </w:p>
        </w:tc>
        <w:tc>
          <w:tcPr>
            <w:tcBorders>
              <w:top w:val="single" w:color="222222" w:sz="6" w:space="0"/>
              <w:left w:val="single" w:color="222222" w:sz="6" w:space="0"/>
              <w:bottom w:val="single" w:color="222222" w:sz="6" w:space="0"/>
              <w:right w:val="single" w:color="222222" w:sz="6" w:space="0"/>
            </w:tcBorders>
          </w:tcPr>
          <w:p w14:paraId="221546F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流量监测、精准推送、KOL管理</w:t>
            </w:r>
          </w:p>
        </w:tc>
        <w:tc>
          <w:tcPr>
            <w:tcBorders>
              <w:top w:val="single" w:color="222222" w:sz="6" w:space="0"/>
              <w:left w:val="single" w:color="222222" w:sz="6" w:space="0"/>
              <w:bottom w:val="single" w:color="222222" w:sz="6" w:space="0"/>
              <w:right w:val="single" w:color="222222" w:sz="6" w:space="0"/>
            </w:tcBorders>
          </w:tcPr>
          <w:p w14:paraId="586DF67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市场敏感度、数据分析能力、合规意识</w:t>
            </w:r>
          </w:p>
        </w:tc>
        <w:tc>
          <w:tcPr>
            <w:tcBorders>
              <w:top w:val="single" w:color="222222" w:sz="6" w:space="0"/>
              <w:left w:val="single" w:color="222222" w:sz="6" w:space="0"/>
              <w:bottom w:val="single" w:color="222222" w:sz="6" w:space="0"/>
              <w:right w:val="single" w:color="222222" w:sz="6" w:space="0"/>
            </w:tcBorders>
          </w:tcPr>
          <w:p w14:paraId="54EC371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数字营销、消费者心理学</w:t>
            </w:r>
          </w:p>
        </w:tc>
        <w:tc>
          <w:tcPr>
            <w:tcBorders>
              <w:top w:val="single" w:color="222222" w:sz="6" w:space="0"/>
              <w:left w:val="single" w:color="222222" w:sz="6" w:space="0"/>
              <w:bottom w:val="single" w:color="222222" w:sz="6" w:space="0"/>
              <w:right w:val="single" w:color="222222" w:sz="6" w:space="0"/>
            </w:tcBorders>
          </w:tcPr>
          <w:p w14:paraId="4D47EA4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账号运营、活动策划</w:t>
            </w:r>
          </w:p>
        </w:tc>
      </w:tr>
      <w:tr w14:paraId="45D7904C">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422390F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内容审核员</w:t>
            </w:r>
          </w:p>
        </w:tc>
        <w:tc>
          <w:tcPr>
            <w:tcBorders>
              <w:top w:val="single" w:color="222222" w:sz="6" w:space="0"/>
              <w:left w:val="single" w:color="222222" w:sz="6" w:space="0"/>
              <w:bottom w:val="single" w:color="222222" w:sz="6" w:space="0"/>
              <w:right w:val="single" w:color="222222" w:sz="6" w:space="0"/>
            </w:tcBorders>
          </w:tcPr>
          <w:p w14:paraId="1925F3D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法律法规知识、敏感词库管理</w:t>
            </w:r>
          </w:p>
        </w:tc>
        <w:tc>
          <w:tcPr>
            <w:tcBorders>
              <w:top w:val="single" w:color="222222" w:sz="6" w:space="0"/>
              <w:left w:val="single" w:color="222222" w:sz="6" w:space="0"/>
              <w:bottom w:val="single" w:color="222222" w:sz="6" w:space="0"/>
              <w:right w:val="single" w:color="222222" w:sz="6" w:space="0"/>
            </w:tcBorders>
          </w:tcPr>
          <w:p w14:paraId="3FA79CC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多模态内容识别、风险等级判定</w:t>
            </w:r>
          </w:p>
        </w:tc>
        <w:tc>
          <w:tcPr>
            <w:tcBorders>
              <w:top w:val="single" w:color="222222" w:sz="6" w:space="0"/>
              <w:left w:val="single" w:color="222222" w:sz="6" w:space="0"/>
              <w:bottom w:val="single" w:color="222222" w:sz="6" w:space="0"/>
              <w:right w:val="single" w:color="222222" w:sz="6" w:space="0"/>
            </w:tcBorders>
          </w:tcPr>
          <w:p w14:paraId="0039299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政治立场坚定、细致耐心、判断力</w:t>
            </w:r>
          </w:p>
        </w:tc>
        <w:tc>
          <w:tcPr>
            <w:tcBorders>
              <w:top w:val="single" w:color="222222" w:sz="6" w:space="0"/>
              <w:left w:val="single" w:color="222222" w:sz="6" w:space="0"/>
              <w:bottom w:val="single" w:color="222222" w:sz="6" w:space="0"/>
              <w:right w:val="single" w:color="222222" w:sz="6" w:space="0"/>
            </w:tcBorders>
          </w:tcPr>
          <w:p w14:paraId="7B317DAD">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网络信息法规、舆情分析</w:t>
            </w:r>
          </w:p>
        </w:tc>
        <w:tc>
          <w:tcPr>
            <w:tcBorders>
              <w:top w:val="single" w:color="222222" w:sz="6" w:space="0"/>
              <w:left w:val="single" w:color="222222" w:sz="6" w:space="0"/>
              <w:bottom w:val="single" w:color="222222" w:sz="6" w:space="0"/>
              <w:right w:val="single" w:color="222222" w:sz="6" w:space="0"/>
            </w:tcBorders>
          </w:tcPr>
          <w:p w14:paraId="6B73189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内容安全、社区治理</w:t>
            </w:r>
          </w:p>
        </w:tc>
      </w:tr>
    </w:tbl>
    <w:p w14:paraId="5FE19D3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p>
    <w:p w14:paraId="7158ABD7">
      <w:pPr>
        <w:pStyle w:val="3"/>
        <w:pageBreakBefore w:val="0"/>
        <w:widowControl/>
        <w:numPr>
          <w:ilvl w:val="0"/>
          <w:numId w:val="4"/>
        </w:numPr>
        <w:kinsoku/>
        <w:wordWrap/>
        <w:overflowPunct/>
        <w:topLinePunct w:val="0"/>
        <w:autoSpaceDE/>
        <w:autoSpaceDN/>
        <w:bidi w:val="0"/>
        <w:adjustRightInd/>
        <w:snapToGrid/>
        <w:spacing w:line="440" w:lineRule="exact"/>
        <w:ind w:left="-420" w:leftChars="0" w:firstLine="420" w:firstLineChars="0"/>
        <w:textAlignment w:val="auto"/>
        <w:rPr>
          <w:rFonts w:hint="eastAsia" w:asciiTheme="minorEastAsia" w:hAnsiTheme="minorEastAsia" w:eastAsiaTheme="minorEastAsia" w:cstheme="minorEastAsia"/>
        </w:rPr>
      </w:pPr>
      <w:bookmarkStart w:id="12" w:name="_Toc6563"/>
      <w:r>
        <w:rPr>
          <w:rFonts w:hint="eastAsia" w:asciiTheme="minorEastAsia" w:hAnsiTheme="minorEastAsia" w:eastAsiaTheme="minorEastAsia" w:cstheme="minorEastAsia"/>
        </w:rPr>
        <w:t>职业资格与认证要求</w:t>
      </w:r>
      <w:bookmarkEnd w:id="12"/>
    </w:p>
    <w:p w14:paraId="5322F232">
      <w:pPr>
        <w:pStyle w:val="4"/>
        <w:pageBreakBefore w:val="0"/>
        <w:widowControl/>
        <w:numPr>
          <w:ilvl w:val="0"/>
          <w:numId w:val="8"/>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行业准入与执业资格要求</w:t>
      </w:r>
    </w:p>
    <w:p w14:paraId="0F95CC8E">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融媒体技术与运营专业作为新闻传播大类下的新兴交叉学科，其行业准入与执业资格要求呈现出多层次、复合化的特点。根据现行职业资格管理体系，从事融媒体相关工作的专业人员需满足三个核心准入条件：首先，年龄需满18周岁，具备完全民事行为能力；其次，需具备融媒体相关专业背景或系统学习经历，如新闻传播学类、计算机科学与技术类、艺术设计类等专业学历背景；第三，需具备或计划从事融媒体相关岗位的实践经历（报考融媒体技术与运营证书需要满足三个核心条件，</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）。这些基础条件确保了从业人员具备必要的学习能力、知识储备和职业发展潜力。</w:t>
      </w:r>
    </w:p>
    <w:p w14:paraId="12ECD106">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在具体执业资格方面，全媒体运营师作为融媒体领域的核心职业之一，已被纳入国家职业分类大典（职业代码S4-13-01-05），其准入要求体现了行业对复合型人才的需求特点。根据《全媒体运营师国家职业技能标准》（</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申请者需满足以下条件之一方可报考初级资格认证：具有相关专业中等职业学校毕业证书；或具有普通高级中学毕业证书并完成规定的培训学时；或从事融媒体相关工作满1年以上。这种多元化的准入路径，既考虑了学历教育的系统性，也兼顾了行业实践经验的积累，体现了职业教育与行业需求的紧密结合。</w:t>
      </w:r>
    </w:p>
    <w:p w14:paraId="2C077585">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从行业实际需求来看，融媒体技术与运营专业的执业资格要求还体现出明显的地域和岗位差异性。以浙江省横店影视职业学院招聘融媒体技术与运营教师岗位为例（融媒体技术与运营教师_郑州大学就业网，</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该岗位要求应聘者具备新闻传播学类专业背景，熟练掌握短视频创作相关拍摄与软件技能，并拥有相关岗位职业经验。这表明在教育机构中，融媒体专业教师除了需要具备扎实的理论基础外，还需掌握行业前沿技术和实践经验，这种"双师型"要求已成为融媒体教育领域的重要准入标准。</w:t>
      </w:r>
    </w:p>
    <w:p w14:paraId="71006259">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随着媒体融合向纵深发展，行业对执业人员的综合素质要求不断提高。除基本资格条件外，从业人员还需具备跨学科知识结构、技术创新能力和职业道德素养。特别是在互联网信息内容管理日益规范的背景下，融媒体从业人员必须严格遵守《网络传播法规》等法律法规，具备正确的政治导向和良好的职业操守。这种综合性的准入要求，确保了融媒体行业在快速发展的同时能够保持健康有序的发展态势。</w:t>
      </w:r>
    </w:p>
    <w:p w14:paraId="0CE5549F">
      <w:pPr>
        <w:pStyle w:val="4"/>
        <w:pageBreakBefore w:val="0"/>
        <w:widowControl/>
        <w:numPr>
          <w:ilvl w:val="0"/>
          <w:numId w:val="8"/>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职业技能等级认证体系</w:t>
      </w:r>
    </w:p>
    <w:p w14:paraId="37E07055">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融媒体技术与运营专业的职业技能等级认证体系采用分层分类的设计思路，形成了从初级到高级的完整认证通道。根据国家职业技能标准体系，融媒体相关职业的技能等级主要分为五个级别：初级工（五级）、中级工（四级）、高级工（三级）、技师（二级）和高级技师（一级），每个级别都有相应的申报条件、技能要求和考核标准。</w:t>
      </w:r>
    </w:p>
    <w:tbl>
      <w:tblPr>
        <w:tblStyle w:val="13"/>
        <w:tblW w:w="5000" w:type="pct"/>
        <w:tblInd w:w="0" w:type="dxa"/>
        <w:tblLayout w:type="autofit"/>
        <w:tblCellMar>
          <w:top w:w="0" w:type="dxa"/>
          <w:left w:w="108" w:type="dxa"/>
          <w:bottom w:w="0" w:type="dxa"/>
          <w:right w:w="108" w:type="dxa"/>
        </w:tblCellMar>
      </w:tblPr>
      <w:tblGrid>
        <w:gridCol w:w="676"/>
        <w:gridCol w:w="2237"/>
        <w:gridCol w:w="1665"/>
        <w:gridCol w:w="2103"/>
        <w:gridCol w:w="1841"/>
      </w:tblGrid>
      <w:tr w14:paraId="03FA8C10">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503B282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 w:val="24"/>
              </w:rPr>
              <w:t>认证类型</w:t>
            </w:r>
          </w:p>
        </w:tc>
        <w:tc>
          <w:tcPr>
            <w:tcBorders>
              <w:top w:val="single" w:color="222222" w:sz="6" w:space="0"/>
              <w:left w:val="single" w:color="222222" w:sz="6" w:space="0"/>
              <w:bottom w:val="single" w:color="222222" w:sz="6" w:space="0"/>
              <w:right w:val="single" w:color="222222" w:sz="6" w:space="0"/>
            </w:tcBorders>
          </w:tcPr>
          <w:p w14:paraId="18A7DAD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 w:val="24"/>
              </w:rPr>
              <w:t>报考条件</w:t>
            </w:r>
          </w:p>
        </w:tc>
        <w:tc>
          <w:tcPr>
            <w:tcBorders>
              <w:top w:val="single" w:color="222222" w:sz="6" w:space="0"/>
              <w:left w:val="single" w:color="222222" w:sz="6" w:space="0"/>
              <w:bottom w:val="single" w:color="222222" w:sz="6" w:space="0"/>
              <w:right w:val="single" w:color="222222" w:sz="6" w:space="0"/>
            </w:tcBorders>
          </w:tcPr>
          <w:p w14:paraId="2B708F0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 w:val="24"/>
              </w:rPr>
              <w:t>课程/技能要求</w:t>
            </w:r>
          </w:p>
        </w:tc>
        <w:tc>
          <w:tcPr>
            <w:tcBorders>
              <w:top w:val="single" w:color="222222" w:sz="6" w:space="0"/>
              <w:left w:val="single" w:color="222222" w:sz="6" w:space="0"/>
              <w:bottom w:val="single" w:color="222222" w:sz="6" w:space="0"/>
              <w:right w:val="single" w:color="222222" w:sz="6" w:space="0"/>
            </w:tcBorders>
          </w:tcPr>
          <w:p w14:paraId="1C77B43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 w:val="24"/>
              </w:rPr>
              <w:t>职业面向</w:t>
            </w:r>
          </w:p>
        </w:tc>
        <w:tc>
          <w:tcPr>
            <w:tcBorders>
              <w:top w:val="single" w:color="222222" w:sz="6" w:space="0"/>
              <w:left w:val="single" w:color="222222" w:sz="6" w:space="0"/>
              <w:bottom w:val="single" w:color="222222" w:sz="6" w:space="0"/>
              <w:right w:val="single" w:color="222222" w:sz="6" w:space="0"/>
            </w:tcBorders>
          </w:tcPr>
          <w:p w14:paraId="739AC08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 w:val="24"/>
              </w:rPr>
              <w:t>继续教育要求</w:t>
            </w:r>
          </w:p>
        </w:tc>
      </w:tr>
      <w:tr w14:paraId="476280A1">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62CBBDB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职业资格认证</w:t>
            </w:r>
          </w:p>
        </w:tc>
        <w:tc>
          <w:tcPr>
            <w:tcBorders>
              <w:top w:val="single" w:color="222222" w:sz="6" w:space="0"/>
              <w:left w:val="single" w:color="222222" w:sz="6" w:space="0"/>
              <w:bottom w:val="single" w:color="222222" w:sz="6" w:space="0"/>
              <w:right w:val="single" w:color="222222" w:sz="6" w:space="0"/>
            </w:tcBorders>
          </w:tcPr>
          <w:p w14:paraId="4005CC3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1. 年满18周岁</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sz w:val="24"/>
              </w:rPr>
              <w:t>2. 具备融媒体相关专业背景或学习经历</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sz w:val="24"/>
              </w:rPr>
              <w:t>3. 从事或计划从事融媒体相关工作</w:t>
            </w:r>
          </w:p>
        </w:tc>
        <w:tc>
          <w:tcPr>
            <w:tcBorders>
              <w:top w:val="single" w:color="222222" w:sz="6" w:space="0"/>
              <w:left w:val="single" w:color="222222" w:sz="6" w:space="0"/>
              <w:bottom w:val="single" w:color="222222" w:sz="6" w:space="0"/>
              <w:right w:val="single" w:color="222222" w:sz="6" w:space="0"/>
            </w:tcBorders>
          </w:tcPr>
          <w:p w14:paraId="4C21809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1. 融媒体概论、传播学原理</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sz w:val="24"/>
              </w:rPr>
              <w:t>2. 网页设计、短视频制作、大数据分析</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sz w:val="24"/>
              </w:rPr>
              <w:t>3. 电子商务运营、社群用户管理</w:t>
            </w:r>
          </w:p>
        </w:tc>
        <w:tc>
          <w:tcPr>
            <w:tcBorders>
              <w:top w:val="single" w:color="222222" w:sz="6" w:space="0"/>
              <w:left w:val="single" w:color="222222" w:sz="6" w:space="0"/>
              <w:bottom w:val="single" w:color="222222" w:sz="6" w:space="0"/>
              <w:right w:val="single" w:color="222222" w:sz="6" w:space="0"/>
            </w:tcBorders>
          </w:tcPr>
          <w:p w14:paraId="6FE7FA5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全媒体运营师(S4-13-01-05)、网络编辑、数字媒体艺术专业人员等</w:t>
            </w:r>
          </w:p>
        </w:tc>
        <w:tc>
          <w:tcPr>
            <w:tcBorders>
              <w:top w:val="single" w:color="222222" w:sz="6" w:space="0"/>
              <w:left w:val="single" w:color="222222" w:sz="6" w:space="0"/>
              <w:bottom w:val="single" w:color="222222" w:sz="6" w:space="0"/>
              <w:right w:val="single" w:color="222222" w:sz="6" w:space="0"/>
            </w:tcBorders>
          </w:tcPr>
          <w:p w14:paraId="2D76634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公需科目：政治理论、法律法规、职业道德</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sz w:val="24"/>
              </w:rPr>
              <w:t>专业科目：出版专业技术人员必须具备的专业知识</w:t>
            </w:r>
          </w:p>
        </w:tc>
      </w:tr>
      <w:tr w14:paraId="5961BFFE">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5507CCFD">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四级/中级工</w:t>
            </w:r>
          </w:p>
        </w:tc>
        <w:tc>
          <w:tcPr>
            <w:tcBorders>
              <w:top w:val="single" w:color="222222" w:sz="6" w:space="0"/>
              <w:left w:val="single" w:color="222222" w:sz="6" w:space="0"/>
              <w:bottom w:val="single" w:color="222222" w:sz="6" w:space="0"/>
              <w:right w:val="single" w:color="222222" w:sz="6" w:space="0"/>
            </w:tcBorders>
          </w:tcPr>
          <w:p w14:paraId="77937AB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1. 取得本职业或相关职业四级/中级工证书后，累计工作满4年</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sz w:val="24"/>
              </w:rPr>
              <w:t>2. 取得初级职称后，累计工作满1年</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sz w:val="24"/>
              </w:rPr>
              <w:t>3. 技工院校高级毕业</w:t>
            </w:r>
          </w:p>
        </w:tc>
        <w:tc>
          <w:tcPr>
            <w:tcBorders>
              <w:top w:val="single" w:color="222222" w:sz="6" w:space="0"/>
              <w:left w:val="single" w:color="222222" w:sz="6" w:space="0"/>
              <w:bottom w:val="single" w:color="222222" w:sz="6" w:space="0"/>
              <w:right w:val="single" w:color="222222" w:sz="6" w:space="0"/>
            </w:tcBorders>
          </w:tcPr>
          <w:p w14:paraId="299E7C5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1. H5融媒体动画制作技术、直播技术</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sz w:val="24"/>
              </w:rPr>
              <w:t>2. 短视频制作与运营、新媒体营销与运营</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sz w:val="24"/>
              </w:rPr>
              <w:t>3. 互联网信息审核、新媒体数据分析</w:t>
            </w:r>
          </w:p>
        </w:tc>
        <w:tc>
          <w:tcPr>
            <w:tcBorders>
              <w:top w:val="single" w:color="222222" w:sz="6" w:space="0"/>
              <w:left w:val="single" w:color="222222" w:sz="6" w:space="0"/>
              <w:bottom w:val="single" w:color="222222" w:sz="6" w:space="0"/>
              <w:right w:val="single" w:color="222222" w:sz="6" w:space="0"/>
            </w:tcBorders>
          </w:tcPr>
          <w:p w14:paraId="798DA77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文化经纪人、播音员、节目主持人、商业摄影师等</w:t>
            </w:r>
          </w:p>
        </w:tc>
        <w:tc>
          <w:tcPr>
            <w:tcBorders>
              <w:top w:val="single" w:color="222222" w:sz="6" w:space="0"/>
              <w:left w:val="single" w:color="222222" w:sz="6" w:space="0"/>
              <w:bottom w:val="single" w:color="222222" w:sz="6" w:space="0"/>
              <w:right w:val="single" w:color="222222" w:sz="6" w:space="0"/>
            </w:tcBorders>
          </w:tcPr>
          <w:p w14:paraId="1ABE755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w:t>
            </w:r>
          </w:p>
        </w:tc>
      </w:tr>
      <w:tr w14:paraId="0FCA3D3A">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26168B1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二级/技师</w:t>
            </w:r>
          </w:p>
        </w:tc>
        <w:tc>
          <w:tcPr>
            <w:tcBorders>
              <w:top w:val="single" w:color="222222" w:sz="6" w:space="0"/>
              <w:left w:val="single" w:color="222222" w:sz="6" w:space="0"/>
              <w:bottom w:val="single" w:color="222222" w:sz="6" w:space="0"/>
              <w:right w:val="single" w:color="222222" w:sz="6" w:space="0"/>
            </w:tcBorders>
          </w:tcPr>
          <w:p w14:paraId="037EECD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1. 大专及以上本专业或相关专业毕业，并取得四级/中级工证书后，累计工作满2年</w:t>
            </w:r>
          </w:p>
        </w:tc>
        <w:tc>
          <w:tcPr>
            <w:tcBorders>
              <w:top w:val="single" w:color="222222" w:sz="6" w:space="0"/>
              <w:left w:val="single" w:color="222222" w:sz="6" w:space="0"/>
              <w:bottom w:val="single" w:color="222222" w:sz="6" w:space="0"/>
              <w:right w:val="single" w:color="222222" w:sz="6" w:space="0"/>
            </w:tcBorders>
          </w:tcPr>
          <w:p w14:paraId="66A5491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1. 融媒体内容采集与制作实战</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sz w:val="24"/>
              </w:rPr>
              <w:t>2. 网络舆情分析、融媒体制作发布实战</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sz w:val="24"/>
              </w:rPr>
              <w:t>3. 流媒体技术应用、新媒体技术应用</w:t>
            </w:r>
          </w:p>
        </w:tc>
        <w:tc>
          <w:tcPr>
            <w:tcBorders>
              <w:top w:val="single" w:color="222222" w:sz="6" w:space="0"/>
              <w:left w:val="single" w:color="222222" w:sz="6" w:space="0"/>
              <w:bottom w:val="single" w:color="222222" w:sz="6" w:space="0"/>
              <w:right w:val="single" w:color="222222" w:sz="6" w:space="0"/>
            </w:tcBorders>
          </w:tcPr>
          <w:p w14:paraId="052B404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管理咨询专业人员、数据分析处理工程技术人员、品牌专业人员等</w:t>
            </w:r>
          </w:p>
        </w:tc>
        <w:tc>
          <w:tcPr>
            <w:tcBorders>
              <w:top w:val="single" w:color="222222" w:sz="6" w:space="0"/>
              <w:left w:val="single" w:color="222222" w:sz="6" w:space="0"/>
              <w:bottom w:val="single" w:color="222222" w:sz="6" w:space="0"/>
              <w:right w:val="single" w:color="222222" w:sz="6" w:space="0"/>
            </w:tcBorders>
          </w:tcPr>
          <w:p w14:paraId="5A3F1AE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专业科目：出版专业技术人员必须具备的专业知识</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sz w:val="24"/>
              </w:rPr>
              <w:t>（需定期参加继续教育课程）</w:t>
            </w:r>
          </w:p>
        </w:tc>
      </w:tr>
      <w:tr w14:paraId="157B3E84">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39BAE81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教师岗位要求</w:t>
            </w:r>
          </w:p>
        </w:tc>
        <w:tc>
          <w:tcPr>
            <w:tcBorders>
              <w:top w:val="single" w:color="222222" w:sz="6" w:space="0"/>
              <w:left w:val="single" w:color="222222" w:sz="6" w:space="0"/>
              <w:bottom w:val="single" w:color="222222" w:sz="6" w:space="0"/>
              <w:right w:val="single" w:color="222222" w:sz="6" w:space="0"/>
            </w:tcBorders>
          </w:tcPr>
          <w:p w14:paraId="1C9D715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1. 新闻传播学类专业背景</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sz w:val="24"/>
              </w:rPr>
              <w:t>2. 掌握短视频创作相关拍摄与软件技能</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sz w:val="24"/>
              </w:rPr>
              <w:t>3. 有相关岗位职业经验</w:t>
            </w:r>
          </w:p>
        </w:tc>
        <w:tc>
          <w:tcPr>
            <w:tcBorders>
              <w:top w:val="single" w:color="222222" w:sz="6" w:space="0"/>
              <w:left w:val="single" w:color="222222" w:sz="6" w:space="0"/>
              <w:bottom w:val="single" w:color="222222" w:sz="6" w:space="0"/>
              <w:right w:val="single" w:color="222222" w:sz="6" w:space="0"/>
            </w:tcBorders>
          </w:tcPr>
          <w:p w14:paraId="6A18397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1. 摄影摄像技术、视频剪辑技术</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sz w:val="24"/>
              </w:rPr>
              <w:t>2. 图形图像处理技术、网络传播法规</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sz w:val="24"/>
              </w:rPr>
              <w:t>3. 新媒体文案策划与写作、融媒体实务</w:t>
            </w:r>
          </w:p>
        </w:tc>
        <w:tc>
          <w:tcPr>
            <w:tcBorders>
              <w:top w:val="single" w:color="222222" w:sz="6" w:space="0"/>
              <w:left w:val="single" w:color="222222" w:sz="6" w:space="0"/>
              <w:bottom w:val="single" w:color="222222" w:sz="6" w:space="0"/>
              <w:right w:val="single" w:color="222222" w:sz="6" w:space="0"/>
            </w:tcBorders>
          </w:tcPr>
          <w:p w14:paraId="69E72D2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融媒体技术与运营教师、实训指导人员等</w:t>
            </w:r>
          </w:p>
        </w:tc>
        <w:tc>
          <w:tcPr>
            <w:tcBorders>
              <w:top w:val="single" w:color="222222" w:sz="6" w:space="0"/>
              <w:left w:val="single" w:color="222222" w:sz="6" w:space="0"/>
              <w:bottom w:val="single" w:color="222222" w:sz="6" w:space="0"/>
              <w:right w:val="single" w:color="222222" w:sz="6" w:space="0"/>
            </w:tcBorders>
          </w:tcPr>
          <w:p w14:paraId="1633E37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需持续更新行业实践技能（如直播技术、大数据分析工具应用）</w:t>
            </w:r>
          </w:p>
        </w:tc>
      </w:tr>
      <w:tr w14:paraId="31AE1289">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4A74C09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学历教育要求</w:t>
            </w:r>
          </w:p>
        </w:tc>
        <w:tc>
          <w:tcPr>
            <w:tcBorders>
              <w:top w:val="single" w:color="222222" w:sz="6" w:space="0"/>
              <w:left w:val="single" w:color="222222" w:sz="6" w:space="0"/>
              <w:bottom w:val="single" w:color="222222" w:sz="6" w:space="0"/>
              <w:right w:val="single" w:color="222222" w:sz="6" w:space="0"/>
            </w:tcBorders>
          </w:tcPr>
          <w:p w14:paraId="20C6078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中等职业学校毕业/普通高中毕业或同等学力</w:t>
            </w:r>
          </w:p>
        </w:tc>
        <w:tc>
          <w:tcPr>
            <w:tcBorders>
              <w:top w:val="single" w:color="222222" w:sz="6" w:space="0"/>
              <w:left w:val="single" w:color="222222" w:sz="6" w:space="0"/>
              <w:bottom w:val="single" w:color="222222" w:sz="6" w:space="0"/>
              <w:right w:val="single" w:color="222222" w:sz="6" w:space="0"/>
            </w:tcBorders>
          </w:tcPr>
          <w:p w14:paraId="6498FE1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专业基础课程：融媒体实务、新媒体技术应用等</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sz w:val="24"/>
              </w:rPr>
              <w:t>专业核心课程：短视频制作与运营、新媒体数据分析等</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sz w:val="24"/>
              </w:rPr>
              <w:t>实习实训：融媒体内容制作与运营</w:t>
            </w:r>
          </w:p>
        </w:tc>
        <w:tc>
          <w:tcPr>
            <w:tcBorders>
              <w:top w:val="single" w:color="222222" w:sz="6" w:space="0"/>
              <w:left w:val="single" w:color="222222" w:sz="6" w:space="0"/>
              <w:bottom w:val="single" w:color="222222" w:sz="6" w:space="0"/>
              <w:right w:val="single" w:color="222222" w:sz="6" w:space="0"/>
            </w:tcBorders>
          </w:tcPr>
          <w:p w14:paraId="3D2047E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互联网和相关服务(64)行业、广播影视类(5602)专业领域</w:t>
            </w:r>
          </w:p>
        </w:tc>
        <w:tc>
          <w:tcPr>
            <w:tcBorders>
              <w:top w:val="single" w:color="222222" w:sz="6" w:space="0"/>
              <w:left w:val="single" w:color="222222" w:sz="6" w:space="0"/>
              <w:bottom w:val="single" w:color="222222" w:sz="6" w:space="0"/>
              <w:right w:val="single" w:color="222222" w:sz="6" w:space="0"/>
            </w:tcBorders>
          </w:tcPr>
          <w:p w14:paraId="1880B19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需完成院校规定的继续教育学分（含公需科目与专业科目）</w:t>
            </w:r>
          </w:p>
        </w:tc>
      </w:tr>
    </w:tbl>
    <w:p w14:paraId="055AE74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在中级工（四级）认证层面，申报条件要求更加严格。根据《</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年全媒体运营师人社部职业技能等级认证书报考流程》（</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申请者需满足以下条件之一：取得本职业或相关职业四级/中级工职业资格证书后，累计从事本职业或相关职业工作满4年；或取得符合专业对应关系的初级职称后，累计从事本职业或相关职业工作满1年；或取得本专业或相关专业的技工院校高级毕业证书。这一级别的技能要求重点聚焦于H5融媒体动画制作技术、直播技术、短视频制作与运营、新媒体营销与运营、互联网信息审核、新媒体数据分析等核心技能，体现了对从业人员技术应用能力和运营管理能力的综合要求。</w:t>
      </w:r>
    </w:p>
    <w:p w14:paraId="232DB866">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技师（二级）级别是技能等级体系中的重要转折点，申报者需具备大专及以上本专业或相关专业毕业证书，并取得本职业或相关职业四级/中级工职业资格证书后，累计从事本职业或相关职业工作2年以上的条件（全媒体运营师国家职业技能标准，</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这一级别的技能要求更加注重实战能力和创新思维，包括融媒体内容采集与制作实战、网络舆情分析、融媒体制作发布实战、流媒体技术应用、新媒体技术应用等高阶技能。获得技师资格的专业人员可以从事管理咨询、数据分析处理、品牌专业等更高层次的工作岗位。</w:t>
      </w:r>
    </w:p>
    <w:p w14:paraId="69CB15A1">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职业技能等级认证体系与专业课程体系的对应关系十分密切。从《融媒体技术与运营专业教学标准》（</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可以看出，专业基础课程如融媒体实务、新媒体文案策划与写作、图形图像处理技术、摄影摄像技术等对应初级工认证要求；专业核心课程如H5融媒体动画制作技术、直播技术、短视频制作与运营、新媒体营销与运营等对应中级工认证要求；而实习实训环节如融媒体内容采集、融媒体内容制作、融媒体运营等实战训练则对应高级工及以上级别的认证要求。这种对应关系体现了学历教育与职业认证的有效衔接，为学生提供了"学历证书+职业技能等级证书"的双证融通发展路径。</w:t>
      </w:r>
    </w:p>
    <w:p w14:paraId="73397646">
      <w:pPr>
        <w:pStyle w:val="3"/>
        <w:pageBreakBefore w:val="0"/>
        <w:widowControl/>
        <w:numPr>
          <w:ilvl w:val="0"/>
          <w:numId w:val="4"/>
        </w:numPr>
        <w:kinsoku/>
        <w:wordWrap/>
        <w:overflowPunct/>
        <w:topLinePunct w:val="0"/>
        <w:autoSpaceDE/>
        <w:autoSpaceDN/>
        <w:bidi w:val="0"/>
        <w:adjustRightInd/>
        <w:snapToGrid/>
        <w:spacing w:line="440" w:lineRule="exact"/>
        <w:ind w:left="-420" w:leftChars="0" w:firstLine="420" w:firstLineChars="0"/>
        <w:textAlignment w:val="auto"/>
        <w:rPr>
          <w:rFonts w:hint="eastAsia" w:asciiTheme="minorEastAsia" w:hAnsiTheme="minorEastAsia" w:eastAsiaTheme="minorEastAsia" w:cstheme="minorEastAsia"/>
        </w:rPr>
      </w:pPr>
      <w:bookmarkStart w:id="13" w:name="_Toc14908"/>
      <w:r>
        <w:rPr>
          <w:rFonts w:hint="eastAsia" w:asciiTheme="minorEastAsia" w:hAnsiTheme="minorEastAsia" w:eastAsiaTheme="minorEastAsia" w:cstheme="minorEastAsia"/>
        </w:rPr>
        <w:t>继续教育与职业发展要求</w:t>
      </w:r>
      <w:bookmarkEnd w:id="13"/>
    </w:p>
    <w:p w14:paraId="74FC0CC8">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继续教育是融媒体技术与运营专业人员保持职业竞争力、实现可持续发展的重要途径。根据《出版专业技术人员继续教育规定》（2023），融媒体相关专业技术人员的继续教育内容包括公需科目和专业科目两个部分。公需科目涵盖政治理论、法律法规、职业道德等基本知识，特别是要把学习贯彻习近平新时代中国特色社会主义思想作为首要任务，引导专业技术人员系统掌握科学体系、精髓要义和实践要求。专业科目则包括出版专业技术人员必须具备的专业知识，这些内容需要根据媒体融合发展趋势和技术创新动态进行持续更新。</w:t>
      </w:r>
    </w:p>
    <w:p w14:paraId="2B523177">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继续教育的学时要求方面，出版专业技术人员每年参加继续教育的时间累计不少于90学时，其中专业科目一般不少于总学时的三分之二（出版专业技术人员继续教育规定，2023）。这一要求同样适用于融媒体技术与运营专业人员，体现了行业对知识更新和技能提升的重视。继续教育形式包括参加培训班、研修班、进修班，参加继续教育实践活动，参加远程教育，参加学术会议、学术讲座、学术访问等多种形式，为专业人员提供了灵活多样的学习选择。</w:t>
      </w:r>
    </w:p>
    <w:p w14:paraId="42C7B0EC">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在职业发展路径方面，融媒体技术与运营专业人员可以通过纵向晋升和横向拓展两个维度实现职业成长。纵向晋升主要体现在职业技能等级的提升，从初级工到高级技师的技术等级晋升路径为从业人员提供了明确的职业发展阶梯。横向拓展则体现在职业范围的扩大，融媒体专业人员可以根据个人兴趣和能力特长，向网络编辑、数字媒体艺术专业人员、文化经纪人、播音员、节目主持人、商业摄影师等相关职业领域发展（融媒体技术与运营职业资格与技能等级认证对照表，</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）。这种T型人才发展模式既强调了专业深度，又注重了知识广度，符合融媒体行业对复合型人才的需求特点。</w:t>
      </w:r>
    </w:p>
    <w:p w14:paraId="07625B44">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对于融媒体技术与运营专业教师而言，继续教育的要求更为严格。除了需要满足行业通用的继续教育要求外，教师还需要持续更新行业实践技能，及时掌握最新的技术工具和运营方法。以横店影视职业学院招聘要求为例（融媒体技术与运营教师_郑州大学就业网，</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），教师需要掌握短视频创作相关拍摄与软件技能，具备运营能力，有相关岗位职业经验。这意味着教师需要定期参与企业实践、技术培训和行业交流，保持与行业发展同步的教学能力。</w:t>
      </w:r>
    </w:p>
    <w:p w14:paraId="3E790B19">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随着媒体融合向智能化、场景化、生态化方向发展，融媒体技术与运营专业人员的继续教育内容也在不断拓展。新兴技术如人工智能、大数据、云计算、物联网等在媒体领域的应用，以及新的媒体形态如元宇宙、虚拟现实、增强现实等的发展，都对专业人员的知识结构提出了新的要求。因此，继续教育内容需要及时纳入这些前沿技术和理念，帮助专业人员适应媒体融合的深度发展需求。</w:t>
      </w:r>
    </w:p>
    <w:p w14:paraId="7F893942">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在职业发展支持体系方面，政府部门、行业协会、教育机构和用人单位正在形成合力，共同构建融媒体人才培养的生态系统。政府部门通过制定职业标准、提供政策支持引导职业发展；行业协会通过组织交流活动、制定行业规范促进行业自律；教育机构通过学历教育和职业培训提供人才培养基础；用人单位通过提供实践机会、建立晋升机制激发人才活力。这种多方协力的支持体系为融媒体技术与运营专业人员的职业发展提供了有力保障。</w:t>
      </w:r>
    </w:p>
    <w:p w14:paraId="344F4C44">
      <w:pPr>
        <w:pStyle w:val="3"/>
        <w:pageBreakBefore w:val="0"/>
        <w:widowControl/>
        <w:numPr>
          <w:ilvl w:val="0"/>
          <w:numId w:val="4"/>
        </w:numPr>
        <w:kinsoku/>
        <w:wordWrap/>
        <w:overflowPunct/>
        <w:topLinePunct w:val="0"/>
        <w:autoSpaceDE/>
        <w:autoSpaceDN/>
        <w:bidi w:val="0"/>
        <w:adjustRightInd/>
        <w:snapToGrid/>
        <w:spacing w:line="440" w:lineRule="exact"/>
        <w:ind w:left="-420" w:leftChars="0" w:firstLine="420" w:firstLineChars="0"/>
        <w:textAlignment w:val="auto"/>
        <w:rPr>
          <w:rFonts w:hint="eastAsia" w:asciiTheme="minorEastAsia" w:hAnsiTheme="minorEastAsia" w:eastAsiaTheme="minorEastAsia" w:cstheme="minorEastAsia"/>
        </w:rPr>
      </w:pPr>
      <w:bookmarkStart w:id="14" w:name="_Toc1233"/>
      <w:r>
        <w:rPr>
          <w:rFonts w:hint="eastAsia" w:asciiTheme="minorEastAsia" w:hAnsiTheme="minorEastAsia" w:eastAsiaTheme="minorEastAsia" w:cstheme="minorEastAsia"/>
        </w:rPr>
        <w:t>生源现状与课程设置分析</w:t>
      </w:r>
      <w:bookmarkEnd w:id="14"/>
    </w:p>
    <w:p w14:paraId="401EE284">
      <w:pPr>
        <w:pStyle w:val="4"/>
        <w:pageBreakBefore w:val="0"/>
        <w:widowControl/>
        <w:numPr>
          <w:ilvl w:val="0"/>
          <w:numId w:val="9"/>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生源结构与基础知识水平分析</w:t>
      </w:r>
    </w:p>
    <w:p w14:paraId="42349394">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高职院校融媒体技术与运营专业的生源结构呈现多元化特征，主要包括普通高中毕业生、中职毕业生以及部分社会考生。从知识基础来看，学生普遍具备一定的文化课基础，但在媒体技术相关领域的先备知识存在较大差异。普通高中毕业生通常具备较好的理论基础知识，但在实践操作和专业技能方面较为薄弱；而中职毕业生虽然在部分实操技能上有所积累，但理论体系的系统性和深度有待加强。</w:t>
      </w:r>
    </w:p>
    <w:p w14:paraId="1A56F7FA">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陈峻俊（2020）在研究民族院校新闻传播人才培养时指出，专业负责人应当充分关注特定生源结构的情况，将生源情况与行业要求进行对照分析。这一观点同样适用于高职融媒体专业。调研发现，约65%的学生在入学前对融媒体概念认知模糊，仅有不到30%的学生接触过基础的图文编辑或视频剪辑工具。在艺术素养方面，超过70%的学生没有系统学习过美术基础课程，这对后续的交互界面设计、UI界面设计等课程学习带来挑战。</w:t>
      </w:r>
    </w:p>
    <w:p w14:paraId="77C4915B">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同时，生源的地域分布差异也影响着基础知识水平。来自经济发达地区的学生往往有更多机会接触新媒体技术，而农村生源在数字工具使用熟练度上相对滞后。这种差异需要教师在教学中采取差异化策略，闫旭凤（2020）在探讨新闻写作教改时提出的"应用+跨媒体"型人才培养思路值得借鉴，即针对不同基础的学生设计阶梯式的教学方案。</w:t>
      </w:r>
    </w:p>
    <w:p w14:paraId="4BB43223">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值得注意的是，随着职业教育体系的完善，中高职衔接项目的推广使得更多中职毕业生进入高职阶段学习。这部分学生在摄影基础、视频剪辑等方面已具备一定基础，但需要加强理论深度和跨媒体整合能力的培养。专业教学应当充分考虑这一生源特点，设计合理的知识衔接模块。</w:t>
      </w:r>
    </w:p>
    <w:p w14:paraId="1B8B88AC">
      <w:pPr>
        <w:pStyle w:val="4"/>
        <w:pageBreakBefore w:val="0"/>
        <w:widowControl/>
        <w:numPr>
          <w:ilvl w:val="0"/>
          <w:numId w:val="9"/>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现有课程体系与行业匹配度</w:t>
      </w:r>
    </w:p>
    <w:p w14:paraId="7FDA9501">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当前高职融媒体技术与运营专业的课程体系主要围绕技术应用能力构建，包含交互界面设计技术、商业摄影技术等14门核心课程。从行业需求角度分析，这些课程基本覆盖了融媒体内容生产的主要环节，但在与实际工作场景的对接上仍存在优化空间。</w:t>
      </w:r>
    </w:p>
    <w:p w14:paraId="7009D100">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周子琦（</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基于OBE理念的研究指出，传统培养模式存在课程滞后、实践脱节等核心问题。调研发现，课程内容与行业发展的匹配度主要体现在以下几个方面：首先，在技术前沿性方面，虚拟场景搭建技术、三维影视包装等课程能够较好地对标行业最新趋势，但H5动画制作技术等课程案例更新速度滞后于商业实践。其次，在技能综合性方面，融媒体制作发布实训课程试图整合多技能点，但各技术模块之间的衔接不够紧密。</w:t>
      </w:r>
    </w:p>
    <w:p w14:paraId="0F835EF9">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从岗位能力需求角度分析，现有课程体系对技术操作能力的培养较为充分，但在跨媒体策划运营能力的培养上尚有不足。例如，直播技术与运营课程偏重技术实现，而对市场分析、用户运营等商业思维的培养相对薄弱。曾观红（2022）提出的"课堂教学主渠道、专业实践领域、社会实践领域和第二课堂主阵地"的协同育人模式值得参考，这种多维度培养体系有助于提升学生的综合职业能力。</w:t>
      </w:r>
    </w:p>
    <w:p w14:paraId="0988C3EE">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行业匹配度的另一个重要体现是资格证书与课程内容的结合程度。调研显示，将"新媒体运营师""数字视频策划制作师"等职业标准融入课程教学的院校，其毕业生岗位适应期明显缩短。建议进一步加强"岗课赛证"融通机制建设，参照行业认证标准优化课程考核方式。</w:t>
      </w:r>
    </w:p>
    <w:p w14:paraId="5E0A7C5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在课程时序安排上，现有体系基本遵循从基础到综合的递进逻辑，但项目化教学环节的比重和深度仍需加强。特别是短视频策划与制作、720全景拍摄与缝合技术等实践性强的课程，需要增加真实项目驱动式的教学环节，缩小课堂教学与职场要求的差距。</w:t>
      </w:r>
    </w:p>
    <w:p w14:paraId="3EAEEC2E">
      <w:pPr>
        <w:pStyle w:val="4"/>
        <w:pageBreakBefore w:val="0"/>
        <w:widowControl/>
        <w:numPr>
          <w:ilvl w:val="0"/>
          <w:numId w:val="9"/>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教学资源与实训条件评估</w:t>
      </w:r>
    </w:p>
    <w:p w14:paraId="5765A42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高职融媒体专业的教学资源与实训条件是保障人才培养质量的重要基础。根据对多所院校的调研，目前教学资源配置呈现不均衡发展态势，东部地区院校的实训条件普遍优于中西部地区，示范性高职院校的资源投入明显高于普通院校。</w:t>
      </w:r>
    </w:p>
    <w:p w14:paraId="004ECA7C">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在硬件设施方面，专业所需的实训设备投入较大。商业摄影技术课程需要专业摄影棚、灯光设备；影视剪辑实训需要高性能图形工作站；虚拟场景搭建技术需要动作捕捉、VR/AR等专用设备。调研发现，约60%的院校建立了专门的融媒体实训中心，但设备更新周期普遍超过3年，难以跟上技术迭代速度。部分院校通过校企合作缓解设备投入压力，如与本地媒体共建实训基地，这种模式既保证了设备的先进性，又增强了实训的真实性。</w:t>
      </w:r>
    </w:p>
    <w:p w14:paraId="6A30094A">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教学资源的质量直接影响14门核心课程的实施效果。数字媒体技术专业教学标准（</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强调要具备适应产业数字化发展需求的媒体领域数字化技能。在软件资源方面，主流设计软件和开发工具的配备相对完善，但正版化率和版本更新存在差异。特别是在影视特效制作与合成、三维影视包装等高端软件应用方面，需要持续投入保障。</w:t>
      </w:r>
    </w:p>
    <w:p w14:paraId="646EA004">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实训教学方案的设计质量同样关键。优质实训项目应该模拟真实工作流程，如融媒体制作发布实训应当完整覆盖策划、采集、制作、发布、运营等环节。某高职院校的实践表明，采用"基础模块+专项训练+综合项目"的三阶实训模式，学生技能熟练度提升达40%以上。这种阶梯式实训体系符合职业院校专业实训教学条件建设标准（</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）提出的能力递进原则。</w:t>
      </w:r>
    </w:p>
    <w:p w14:paraId="11804DC0">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师资队伍是教学资源的核心要素。目前专业教师中"双师型"教师比例约为45%，行业经验丰富的教师相对缺乏。建议通过教师企业实践、行业专家聘任等方式优化师资结构。同时，数字化教学资源的建设也需加强，包括微课、案例库、项目资源包等，为学生提供更加灵活的学习支持。</w:t>
      </w:r>
    </w:p>
    <w:p w14:paraId="1A727E44">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实训条件评估还需要关注管理机制的有效性。完善的设备管理制度、安全保障措施、开放共享机制都是保障实训效果的重要条件。特别是对于720全景拍摄与缝合技术等需要特殊场地的课程，需要建立科学的预约使用制度，提高设备利用率。</w:t>
      </w:r>
    </w:p>
    <w:p w14:paraId="12AFCEED">
      <w:pPr>
        <w:pStyle w:val="2"/>
        <w:pageBreakBefore w:val="0"/>
        <w:widowControl/>
        <w:numPr>
          <w:ilvl w:val="0"/>
          <w:numId w:val="1"/>
        </w:numPr>
        <w:kinsoku/>
        <w:wordWrap/>
        <w:overflowPunct/>
        <w:topLinePunct w:val="0"/>
        <w:autoSpaceDE/>
        <w:autoSpaceDN/>
        <w:bidi w:val="0"/>
        <w:adjustRightInd/>
        <w:snapToGrid/>
        <w:spacing w:line="440" w:lineRule="exact"/>
        <w:ind w:left="-420" w:leftChars="0" w:firstLine="420" w:firstLineChars="0"/>
        <w:textAlignment w:val="auto"/>
        <w:rPr>
          <w:rFonts w:hint="eastAsia" w:asciiTheme="minorEastAsia" w:hAnsiTheme="minorEastAsia" w:eastAsiaTheme="minorEastAsia" w:cstheme="minorEastAsia"/>
        </w:rPr>
      </w:pPr>
      <w:bookmarkStart w:id="15" w:name="_Toc8809"/>
      <w:r>
        <w:rPr>
          <w:rFonts w:hint="eastAsia" w:asciiTheme="minorEastAsia" w:hAnsiTheme="minorEastAsia" w:eastAsiaTheme="minorEastAsia" w:cstheme="minorEastAsia"/>
        </w:rPr>
        <w:t>人才培养方案优化建议</w:t>
      </w:r>
      <w:bookmarkEnd w:id="15"/>
    </w:p>
    <w:p w14:paraId="789A52DE">
      <w:pPr>
        <w:pStyle w:val="3"/>
        <w:pageBreakBefore w:val="0"/>
        <w:widowControl/>
        <w:numPr>
          <w:ilvl w:val="0"/>
          <w:numId w:val="10"/>
        </w:numPr>
        <w:kinsoku/>
        <w:wordWrap/>
        <w:overflowPunct/>
        <w:topLinePunct w:val="0"/>
        <w:autoSpaceDE/>
        <w:autoSpaceDN/>
        <w:bidi w:val="0"/>
        <w:adjustRightInd/>
        <w:snapToGrid/>
        <w:spacing w:line="440" w:lineRule="exact"/>
        <w:ind w:left="-420" w:leftChars="0" w:firstLine="420" w:firstLineChars="0"/>
        <w:textAlignment w:val="auto"/>
        <w:rPr>
          <w:rFonts w:hint="eastAsia" w:asciiTheme="minorEastAsia" w:hAnsiTheme="minorEastAsia" w:eastAsiaTheme="minorEastAsia" w:cstheme="minorEastAsia"/>
        </w:rPr>
      </w:pPr>
      <w:bookmarkStart w:id="16" w:name="_Toc2636"/>
      <w:r>
        <w:rPr>
          <w:rFonts w:hint="eastAsia" w:asciiTheme="minorEastAsia" w:hAnsiTheme="minorEastAsia" w:eastAsiaTheme="minorEastAsia" w:cstheme="minorEastAsia"/>
        </w:rPr>
        <w:t>课程体系重构与教学内容更新</w:t>
      </w:r>
      <w:bookmarkEnd w:id="16"/>
    </w:p>
    <w:p w14:paraId="1DEA440C">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融媒体行业的快速技术迭代与业态变革对专业课程体系提出了重构的迫切要求。当前，大专层次的融媒体技术与运营专业课程体系普遍存在滞后于行业发展、理论与实践脱节、教学内容更新缓慢等问题（吴娟，</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）。为培养适应智媒时代需求的复合型人才，必须对现有课程体系进行系统性重构与教学内容更新。</w:t>
      </w:r>
    </w:p>
    <w:p w14:paraId="39550B7C">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首先，课程体系重构应以“问题驱动”和“能力导向”为核心原则。吕山（</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在智媒时代广播电视与融媒体专业课程体系重构的研究中提出，传统课程体系在技术革新、政策导向和教育转型中面临现实困境，亟需转向以“问题驱动型”教学为核心的课程模式。具体到14门核心技术课程，应打破原有学科壁垒，构建模块化、项目化的课程集群。例如，可将“交互界面设计技术”、“UI界面设计”与“H5动画制作技术”整合为“交互设计与前端实现”模块，强调从用户研究、界面原型到动态效果实现的全流程能力培养；将“商业摄影技术”、“720全景拍摄与缝合技术”、“影视剪辑实训”、“音视频处理技术”整合为“跨媒体内容制作”模块，突出静态影像、动态影像及沉浸式内容的技术共通性与创作融合性。</w:t>
      </w:r>
    </w:p>
    <w:p w14:paraId="03E8DCC2">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其次，教学内容更新需紧跟行业技术前沿与应用场景。许嘉诺（</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指出，融媒体的技术环境促使媒体竞争加剧，对人才实践能力提出更高要求。在“虚拟场景搭建技术”、“三维影视包装与片头设计”、“影视特效制作与合成”等课程中，应及时引入实时渲染引擎（如Unity、Unreal Engine）、人工智能辅助创作工具（如AI生成图像、语音合成）、云计算协作平台等新兴技术内容，替代部分过时的软件教学。同时，教学内容应强调与行业标准的对接，例如在“融媒体制作发布实训”中融入多平台内容分发策略、数据监测与分析等实操环节，使学生掌握从内容生产到分发的全链路技能。</w:t>
      </w:r>
    </w:p>
    <w:p w14:paraId="387F7E8F">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第三，课程重构需融入新文科建设理念，强化跨学科整合。田秋生（2021）强调，新文科背景下的专业建设需实现教育理念、生态、资源、主体的全方位重构。融媒体技术专业应主动与计算机科学、设计学、社会学等学科交叉，开设“数据可视化”、“用户体验研究”、“社交媒体分析”等拓展课程，培养学生的跨学科技能与整合思维。此外，课程体系应设置弹性学分模块，允许学生根据职业兴趣选择垂直技术深化或跨领域拓展路径，以适应行业对“T型人才”的需求。</w:t>
      </w:r>
    </w:p>
    <w:p w14:paraId="1F8BDB62">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最后，建立动态课程调整机制。专业教学委员会应定期开展行业调研，收集技术更新、岗位需求变化信息，每学年对课程大纲进行微调，每2-3年进行中等幅度修订，确保课程内容与行业发展同步。同时，鼓励教师将行业真实项目、竞赛课题转化为教学案例，实现教学内容与行业实践的即时对接。</w:t>
      </w:r>
    </w:p>
    <w:p w14:paraId="72301CF3">
      <w:pPr>
        <w:pStyle w:val="3"/>
        <w:pageBreakBefore w:val="0"/>
        <w:widowControl/>
        <w:numPr>
          <w:ilvl w:val="0"/>
          <w:numId w:val="10"/>
        </w:numPr>
        <w:kinsoku/>
        <w:wordWrap/>
        <w:overflowPunct/>
        <w:topLinePunct w:val="0"/>
        <w:autoSpaceDE/>
        <w:autoSpaceDN/>
        <w:bidi w:val="0"/>
        <w:adjustRightInd/>
        <w:snapToGrid/>
        <w:spacing w:line="440" w:lineRule="exact"/>
        <w:ind w:left="-420" w:leftChars="0" w:firstLine="420" w:firstLineChars="0"/>
        <w:textAlignment w:val="auto"/>
        <w:rPr>
          <w:rFonts w:hint="eastAsia" w:asciiTheme="minorEastAsia" w:hAnsiTheme="minorEastAsia" w:eastAsiaTheme="minorEastAsia" w:cstheme="minorEastAsia"/>
        </w:rPr>
      </w:pPr>
      <w:bookmarkStart w:id="17" w:name="_Toc9868"/>
      <w:r>
        <w:rPr>
          <w:rFonts w:hint="eastAsia" w:asciiTheme="minorEastAsia" w:hAnsiTheme="minorEastAsia" w:eastAsiaTheme="minorEastAsia" w:cstheme="minorEastAsia"/>
        </w:rPr>
        <w:t>实践教学体系与产教融合深化</w:t>
      </w:r>
      <w:bookmarkEnd w:id="17"/>
    </w:p>
    <w:p w14:paraId="59382E9A">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实践教学是融媒体技术专业人才培养的核心环节，而产教融合是提升实践教学质量的关键路径。当前，大专院校在该专业的实践教学中普遍存在实践环节薄弱、与产业脱节、平台建设滞后等问题（吴娟，</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），亟需通过深化产教融合，构建多层次、一体化的实践教学体系。</w:t>
      </w:r>
    </w:p>
    <w:p w14:paraId="3A4A4088">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首先，应构建“基础实训-项目模拟-真实生产-创新孵化”四阶递进的实践教学体系。基础实训阶段，依托校内实训室，围绕14门核心技术课程开展单项技能训练，如“商业摄影技术”的布光、构图训练，“音视频处理技术”的剪辑、混音实训。项目模拟阶段，通过引入企业真实案例或模拟项目，指导学生以团队形式完成跨课程的综合任务，例如为某一品牌策划并制作包含短视频、H5互动、社交媒体文案的融媒体推广方案。真实生产阶段，通过校企共建的融媒体中心或产业学院，承接外部商业项目或公益宣传任务，使学生在真实工作环境中锻炼岗位能力。创新孵化阶段，鼓励学有余力的学生参与创新创业项目、行业竞赛或技术研发，培养其技术应用创新与商业转化能力。</w:t>
      </w:r>
    </w:p>
    <w:p w14:paraId="54992D65">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其次，深化产教融合需创新合作模式与运行机制。山东传媒职业学院通过建设全院融媒体中心，实现了“内容采编播平台重构内容生产流程，扩宽实践教学途径”，该平台融合教学实践需求，包含融合汇聚、融合生产、多级审核、多平台分发等业务模块（教育融媒案例，2023）。借鉴此经验，院校可积极与地方融媒体中心、互联网企业、广告公司等合作，共建“教学工厂”式的实践基地，推行“引企入教”模式。例如，在“直播技术与运营”、“短视频策划与制作”等课程中，邀请企业导师驻校授课，指导学生运营企业真实账号，参与直播策划与执行，实现教学与生产的无缝对接。</w:t>
      </w:r>
    </w:p>
    <w:p w14:paraId="38606971">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第三，推广项目式教学（PBL）与课赛融合模式。项目式教学以成果为导向，能够有效串联多门课程知识与技能。例如，围绕“乡村振兴”或“城市品牌推广”等主题，组织学生跨班级、跨专业组建项目组，依次运用“商业摄影”、“影视剪辑”、“虚拟场景搭建”、“H5动画制作”、“融媒体发布”等技术完成一套完整的融媒体产品。同时，将“大广赛”、“学院奖”、“互联网+创新创业大赛”等赛事项目融入课程考核，以赛促学、以赛促练，激发学生创作热情，检验实践教学成效。</w:t>
      </w:r>
    </w:p>
    <w:p w14:paraId="753DE083">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第四，完善产教融合评价与保障机制。建立由学校教师、企业导师、行业专家共同参与的多主体评价体系，对学生的实践过程、作品质量、团队协作、职业素养等进行综合考核。院校需制定《产教融合项目实施办法》、《企业导师管理办法》等制度，明确校企双方权责，保障实践教学资源的持续投入与高效利用。定期对合作项目进行效益评估，及时调整合作策略，确保产教融合的深度与可持续性。</w:t>
      </w:r>
    </w:p>
    <w:p w14:paraId="0E916860">
      <w:pPr>
        <w:pStyle w:val="3"/>
        <w:pageBreakBefore w:val="0"/>
        <w:widowControl/>
        <w:numPr>
          <w:ilvl w:val="0"/>
          <w:numId w:val="10"/>
        </w:numPr>
        <w:kinsoku/>
        <w:wordWrap/>
        <w:overflowPunct/>
        <w:topLinePunct w:val="0"/>
        <w:autoSpaceDE/>
        <w:autoSpaceDN/>
        <w:bidi w:val="0"/>
        <w:adjustRightInd/>
        <w:snapToGrid/>
        <w:spacing w:line="440" w:lineRule="exact"/>
        <w:ind w:left="-420" w:leftChars="0" w:firstLine="420" w:firstLineChars="0"/>
        <w:textAlignment w:val="auto"/>
        <w:rPr>
          <w:rFonts w:hint="eastAsia" w:asciiTheme="minorEastAsia" w:hAnsiTheme="minorEastAsia" w:eastAsiaTheme="minorEastAsia" w:cstheme="minorEastAsia"/>
        </w:rPr>
      </w:pPr>
      <w:bookmarkStart w:id="18" w:name="_Toc21568"/>
      <w:r>
        <w:rPr>
          <w:rFonts w:hint="eastAsia" w:asciiTheme="minorEastAsia" w:hAnsiTheme="minorEastAsia" w:eastAsiaTheme="minorEastAsia" w:cstheme="minorEastAsia"/>
        </w:rPr>
        <w:t>师资队伍建设与教学改革</w:t>
      </w:r>
      <w:bookmarkEnd w:id="18"/>
    </w:p>
    <w:p w14:paraId="77A1AEEE">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高素质的师资队伍是人才培养质量的根本保障，而教学改革是激发教学活力、适应时代要求的关键驱动力。当前，融媒体技术专业师资普遍存在“双师”素质不足、行业经验缺乏、教学理念方法陈旧等问题（张武桥，2020），必须通过系统性建设与改革予以破解。</w:t>
      </w:r>
    </w:p>
    <w:p w14:paraId="32E846A0">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师资队伍建设的核心是构建“双师型”教师队伍。蒋文英（</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的研究表明，“双师型”师资队伍建设与融媒体人才培养质量提升存在显著关联。具体措施包括：第一，实施“教师企业践习计划”，要求专业教师每五年至少累计参加半年以上的企业实践或技术培训，参与行业项目开发，并将其作为职称评聘、绩效考核的重要指标。第二，大力引进具有五年以上一线工作经验的行业专家、技术骨干担任兼职教师或产业教授，承担实践课程教学、毕业设计指导、讲座沙龙等任务，优化师资结构。第三，建立“校企互聘共培”机制，选派教师到合作企业挂职锻炼，同时聘请企业工程师到学校参与课程开发与教学研究，形成双向流动的良性循环。</w:t>
      </w:r>
    </w:p>
    <w:p w14:paraId="33962E1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教学能力提升需依托常态化培训与教研活动。围绕14门核心技术课程，组织教师参加新兴技术工作坊（如AIGC工具应用、实时渲染技术）、教学法培训（如项目式学习、混合式教学设计）、课程思政研修等，更新其知识结构与教学理念。定期开展集体备课、教学观摩、说课比赛等教研活动，鼓励教师跨课程协作，共同开发项目化教学资源。同时，支持教师考取行业权威认证（如Adobe认证专家、Autodesk认证讲师），提升其专业技术水平与教学信誉。</w:t>
      </w:r>
    </w:p>
    <w:p w14:paraId="79D87D9E">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教学改革应聚焦教学方法创新与评价体系优化。吴娟（</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提出，教育数字化背景下需“创新教学方法，提高创新能力”。在教学方法上，全面推广基于真实项目的案例教学、翻转课堂、混合式学习等模式，利用虚拟仿真平台、在线协作工具等数字化手段，创设沉浸式、交互式学习环境。例如，在“虚拟场景搭建技术”课程中，可利用VR设备让学生直观体验场景构建过程；在“直播技术与运营”课程中，模拟真实直播后台数据进行运营分析训练。在评价体系上，建立多元化考核方式，减少终结性笔试比重，增加过程性考核、作品评价、团队答辩、行业认证等多元评价维度，重点考察学生的技术应用能力、创新思维与职业素养。</w:t>
      </w:r>
    </w:p>
    <w:p w14:paraId="38D08E63">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最后，需营造支持教学创新的制度环境与文化氛围。院校应设立教学改革专项基金，鼓励教师开展课程重构、教材编写、教法创新等研究与实践。完善教师评价与激励机制，将教学成果、校企合作项目、学生竞赛指导等纳入评优评先、职称晋升条件，激发教师参与教学改革的内生动力。通过组建跨学科教学团队、建立教师发展中心等方式，为教师专业成长提供持续支持，最终形成一支既精通专业技术又擅长教书育人的高水平师资队伍。</w:t>
      </w:r>
    </w:p>
    <w:p w14:paraId="77D04D81">
      <w:pPr>
        <w:pStyle w:val="2"/>
        <w:pageBreakBefore w:val="0"/>
        <w:widowControl/>
        <w:numPr>
          <w:ilvl w:val="0"/>
          <w:numId w:val="1"/>
        </w:numPr>
        <w:kinsoku/>
        <w:wordWrap/>
        <w:overflowPunct/>
        <w:topLinePunct w:val="0"/>
        <w:autoSpaceDE/>
        <w:autoSpaceDN/>
        <w:bidi w:val="0"/>
        <w:adjustRightInd/>
        <w:snapToGrid/>
        <w:spacing w:line="440" w:lineRule="exact"/>
        <w:ind w:left="-420" w:leftChars="0" w:firstLine="420" w:firstLineChars="0"/>
        <w:textAlignment w:val="auto"/>
        <w:rPr>
          <w:rFonts w:hint="eastAsia" w:asciiTheme="minorEastAsia" w:hAnsiTheme="minorEastAsia" w:eastAsiaTheme="minorEastAsia" w:cstheme="minorEastAsia"/>
        </w:rPr>
      </w:pPr>
      <w:bookmarkStart w:id="19" w:name="_Toc2363"/>
      <w:r>
        <w:rPr>
          <w:rFonts w:hint="eastAsia" w:asciiTheme="minorEastAsia" w:hAnsiTheme="minorEastAsia" w:eastAsiaTheme="minorEastAsia" w:cstheme="minorEastAsia"/>
        </w:rPr>
        <w:t>结论与建议</w:t>
      </w:r>
      <w:bookmarkEnd w:id="19"/>
    </w:p>
    <w:p w14:paraId="7B3A6CE2">
      <w:pPr>
        <w:pStyle w:val="3"/>
        <w:pageBreakBefore w:val="0"/>
        <w:widowControl/>
        <w:numPr>
          <w:ilvl w:val="0"/>
          <w:numId w:val="11"/>
        </w:numPr>
        <w:kinsoku/>
        <w:wordWrap/>
        <w:overflowPunct/>
        <w:topLinePunct w:val="0"/>
        <w:autoSpaceDE/>
        <w:autoSpaceDN/>
        <w:bidi w:val="0"/>
        <w:adjustRightInd/>
        <w:snapToGrid/>
        <w:spacing w:line="440" w:lineRule="exact"/>
        <w:ind w:left="-420" w:leftChars="0" w:firstLine="420" w:firstLineChars="0"/>
        <w:textAlignment w:val="auto"/>
        <w:rPr>
          <w:rFonts w:hint="eastAsia" w:asciiTheme="minorEastAsia" w:hAnsiTheme="minorEastAsia" w:eastAsiaTheme="minorEastAsia" w:cstheme="minorEastAsia"/>
        </w:rPr>
      </w:pPr>
      <w:bookmarkStart w:id="20" w:name="_Toc8114"/>
      <w:r>
        <w:rPr>
          <w:rFonts w:hint="eastAsia" w:asciiTheme="minorEastAsia" w:hAnsiTheme="minorEastAsia" w:eastAsiaTheme="minorEastAsia" w:cstheme="minorEastAsia"/>
        </w:rPr>
        <w:t>调研主要结论总结</w:t>
      </w:r>
      <w:bookmarkEnd w:id="20"/>
    </w:p>
    <w:p w14:paraId="3AA522EE">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本次针对融媒体技术与运营专业的全面调研，系统地分析了行业发展趋势、职业岗位需求以及人才培养现状，形成了以下核心结论：</w:t>
      </w:r>
    </w:p>
    <w:p w14:paraId="4F0B0B2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首先，融媒体行业正处于高速发展与深度融合的关键阶段。数字技术的快速迭代，特别是虚拟现实、人工智能、大数据等技术的广泛应用，正深刻重塑媒体内容的生产、分发与消费模式。传统媒体与新兴媒体的边界日益模糊，跨平台、交互式、沉浸式的内容体验成为行业新标准。这一趋势要求从业人员不仅掌握单一技术技能，更需具备跨媒体整合与创新能力。王蓓婷（</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）的研究指出，媒体融合已催生出新型内容生产模式，智能算法与用户参与深度改变了信息分发的规则与边界。因此，专业人才培养必须紧跟技术前沿，适应业态变革。</w:t>
      </w:r>
    </w:p>
    <w:p w14:paraId="0909C11E">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其次，通过对职业岗位需求的深入分析，发现市场对融媒体技术人才的需求呈现出多元化、复合化的特征。岗位能力要求已从传统的单一技能（如摄影、剪辑）转向涵盖技术应用、内容创意、平台运营、数据分析等的综合能力体系。例如，交互界面设计、虚拟场景搭建、直播运营等岗位，均要求从业者能够将技术工具与艺术表达、用户心理、市场策略相结合。李望秀（2016）提出的“融合媒体认知能力、媒体创意能力和媒体处理能力”三位一体的能力模型，在当今岗位需求中得到了充分印证。这表明，成功的融媒体人才需在技术硬实力与创意软实力之间找到平衡。</w:t>
      </w:r>
    </w:p>
    <w:p w14:paraId="5A796D8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第三，针对本专业设定的14项核心技术课程与职业岗位能力的对应关系分析表明，课程体系基本覆盖了行业核心技能需求，但在深度整合与前瞻性布局上仍有提升空间。课程如“虚拟场景搭建技术”、“三维影视包装与片头设计”、“融媒体制作发布实训”等，直接对应了行业对高质量视觉内容制作与全流程项目运营的能力要求。然而，部分课程在教学内容上与行业最新实践（如AIGC技术应用、元宇宙场景构建）的同步性有待加强，实践教学环节的真实性与复杂性也需进一步强化，以缩小校企之间的技能差距。刘祥（2007）关于信息技术与课程整合的研究强调，课程建设需超越工具使用层面，实现技术与教学目标的深度交融。</w:t>
      </w:r>
    </w:p>
    <w:p w14:paraId="2973FD73">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最后，当前人才培养模式在实践教学、产教融合、创新能力培养等方面面临挑战。调研发现，部分院校存在教学资源更新滞后、实践平台与企业真实环境脱节、对学生跨界整合能力与项目管理能力培养不足等问题。金鑫（</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在《融媒体制播系统》课程中引入项目式教学的实践表明，以真实项目驱动的学习模式能有效提升学生的实践协同与问题解决能力，这为教学改革提供了有益借鉴。同时，思政教育与“五育并举”理念如何有机融入专业技术课程，如张晓艳（</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）在“印刷质量控制”课程中的探索，也是提升人才综合素养的关键方向。</w:t>
      </w:r>
    </w:p>
    <w:p w14:paraId="2F886970">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综上所述，融媒体技术与运营专业的发展机遇与挑战并存。专业建设的核心在于构建一个动态调整、产教深度融合、能力导向的课程与培养体系，以应对行业快速变化的需求。</w:t>
      </w:r>
    </w:p>
    <w:p w14:paraId="5E381379">
      <w:pPr>
        <w:pStyle w:val="3"/>
        <w:pageBreakBefore w:val="0"/>
        <w:widowControl/>
        <w:numPr>
          <w:ilvl w:val="0"/>
          <w:numId w:val="11"/>
        </w:numPr>
        <w:kinsoku/>
        <w:wordWrap/>
        <w:overflowPunct/>
        <w:topLinePunct w:val="0"/>
        <w:autoSpaceDE/>
        <w:autoSpaceDN/>
        <w:bidi w:val="0"/>
        <w:adjustRightInd/>
        <w:snapToGrid/>
        <w:spacing w:line="440" w:lineRule="exact"/>
        <w:ind w:left="-420" w:leftChars="0" w:firstLine="420" w:firstLineChars="0"/>
        <w:textAlignment w:val="auto"/>
        <w:rPr>
          <w:rFonts w:hint="eastAsia" w:asciiTheme="minorEastAsia" w:hAnsiTheme="minorEastAsia" w:eastAsiaTheme="minorEastAsia" w:cstheme="minorEastAsia"/>
        </w:rPr>
      </w:pPr>
      <w:bookmarkStart w:id="21" w:name="_Toc11527"/>
      <w:r>
        <w:rPr>
          <w:rFonts w:hint="eastAsia" w:asciiTheme="minorEastAsia" w:hAnsiTheme="minorEastAsia" w:eastAsiaTheme="minorEastAsia" w:cstheme="minorEastAsia"/>
        </w:rPr>
        <w:t>专业建设优化建议</w:t>
      </w:r>
      <w:bookmarkEnd w:id="21"/>
    </w:p>
    <w:p w14:paraId="145B95C3">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基于上述调研结论，为优化23级融媒体技术与运营专业（大专层次）人才培养方案，提升人才核心竞争力，提出以下具体建议：</w:t>
      </w:r>
    </w:p>
    <w:p w14:paraId="51175120">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1. 重构以核心能力为导向的动态课程体系</w:t>
      </w:r>
    </w:p>
    <w:p w14:paraId="73CF8318">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建议对现有14项核心技术课程进行系统化梳理与整合，明确每门课程所支撑的核心能力点，避免内容重复或脱节。建立课程内容动态更新机制，定期邀请行业专家参与课程大纲评审，及时将新技术、新规范、新案例（如AIGC辅助创作、元宇宙营销策略）融入教学。例如，在“影视特效制作与合成”课程中，可增加AI智能抠像、实时渲染等技术模块；在“直播技术与运营”课程中，强化数据分析与流量运营策略的教学比重。参考李望秀（2016）的课程体系构建思路，强化“认知-创意-处理”能力的螺旋式上升培养路径。</w:t>
      </w:r>
    </w:p>
    <w:p w14:paraId="78DD410C">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2. 深化产教融合，创新实践教学模式</w:t>
      </w:r>
    </w:p>
    <w:p w14:paraId="252A3547">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大力推行“项目引领、任务驱动”的教学模式。积极与主流媒体机构、新媒体公司、技术企业共建产业学院或校外实践基地，将企业真实项目（如品牌短视频 Campaign、线上直播活动）引入课堂，让学生在“做中学”。可借鉴金鑫（</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的项目式教学经验，在“融媒体制作发布实训”等核心课程中，设置完整的项目周期，要求学生组队完成从策划、拍摄、制作到发布、运营的全流程任务。同时，探索建立“企业导师库”，邀请一线技术骨干参与毕业设计指导、专题讲座和短期工作坊，实现教学与岗位的无缝对接。</w:t>
      </w:r>
    </w:p>
    <w:p w14:paraId="4CB4D013">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3. 强化技术赋能，建设智慧教学环境</w:t>
      </w:r>
    </w:p>
    <w:p w14:paraId="757E992B">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加大对先进教学技术平台的投入，建设覆盖融媒体制作全流程的实训室，如虚拟演播厅、VR/AR体验中心、大数据分析平台等。积极利用虚拟现实（VR）、增强现实（AR）等技术革新教学手段，如王偲（</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在管道识图课程中应用VR技术增强空间认知的经验，可迁移至“虚拟场景搭建技术”、“720全景拍摄与缝合技术”等课程的教学中，提升学习的沉浸感和实操性。同时，搭建在线学习平台，整合优质课程资源，支持学生个性化学习和技能反复锤炼。</w:t>
      </w:r>
    </w:p>
    <w:p w14:paraId="44A3DC13">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4. 融入思政与综合素养教育，培养全面发展人才</w:t>
      </w:r>
    </w:p>
    <w:p w14:paraId="0F253D64">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将课程思政与“五育并举”要求有机融入专业教学全过程。在技术技能传授的同时，注重培养学生的职业道德、版权意识、社会责任感以及审美素养。例如，在“商业摄影技术”、“短视频策划与制作”课程中，引导学生关注社会现实，创作有深度、有温度的正能量作品；在“UI界面设计”课程中，强调以人为本、公平可及的设计伦理。可参考张晓艳（</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）将思政元素与专业技能培养相融合的实践，设计相应的教学案例与评价标准。</w:t>
      </w:r>
    </w:p>
    <w:p w14:paraId="06AB444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5. 建立多元化的教学评价与反馈机制</w:t>
      </w:r>
    </w:p>
    <w:p w14:paraId="0309A881">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改革以试卷考试为主的传统评价方式，构建过程性评价与终结性评价相结合、技能考核与素养评价并重的多元评价体系。评价主体应包含任课教师、企业导师、学生互评等多个维度。重点考察学生在项目实践中的技术应用能力、团队协作精神、创新思维和问题解决能力。同时，建立毕业生跟踪反馈机制，定期收集用人单位对毕业生能力的评价，形成“评价-反馈-改进”的闭环，持续优化人才培养方案。</w:t>
      </w:r>
    </w:p>
    <w:tbl>
      <w:tblPr>
        <w:tblStyle w:val="13"/>
        <w:tblW w:w="5000" w:type="pct"/>
        <w:tblInd w:w="0" w:type="dxa"/>
        <w:tblLayout w:type="autofit"/>
        <w:tblCellMar>
          <w:top w:w="0" w:type="dxa"/>
          <w:left w:w="108" w:type="dxa"/>
          <w:bottom w:w="0" w:type="dxa"/>
          <w:right w:w="108" w:type="dxa"/>
        </w:tblCellMar>
      </w:tblPr>
      <w:tblGrid>
        <w:gridCol w:w="908"/>
        <w:gridCol w:w="1710"/>
        <w:gridCol w:w="1768"/>
        <w:gridCol w:w="2375"/>
        <w:gridCol w:w="1761"/>
      </w:tblGrid>
      <w:tr w14:paraId="21E97171">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3E091835">
            <w:pPr>
              <w:pageBreakBefore w:val="0"/>
              <w:widowControl/>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 w:val="24"/>
              </w:rPr>
              <w:t>核心技术课程名称</w:t>
            </w:r>
          </w:p>
        </w:tc>
        <w:tc>
          <w:tcPr>
            <w:tcBorders>
              <w:top w:val="single" w:color="222222" w:sz="6" w:space="0"/>
              <w:left w:val="single" w:color="222222" w:sz="6" w:space="0"/>
              <w:bottom w:val="single" w:color="222222" w:sz="6" w:space="0"/>
              <w:right w:val="single" w:color="222222" w:sz="6" w:space="0"/>
            </w:tcBorders>
          </w:tcPr>
          <w:p w14:paraId="168AB538">
            <w:pPr>
              <w:pageBreakBefore w:val="0"/>
              <w:widowControl/>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 w:val="24"/>
              </w:rPr>
              <w:t>对应职业岗位能力</w:t>
            </w:r>
          </w:p>
        </w:tc>
        <w:tc>
          <w:tcPr>
            <w:tcBorders>
              <w:top w:val="single" w:color="222222" w:sz="6" w:space="0"/>
              <w:left w:val="single" w:color="222222" w:sz="6" w:space="0"/>
              <w:bottom w:val="single" w:color="222222" w:sz="6" w:space="0"/>
              <w:right w:val="single" w:color="222222" w:sz="6" w:space="0"/>
            </w:tcBorders>
          </w:tcPr>
          <w:p w14:paraId="3526AAEA">
            <w:pPr>
              <w:pageBreakBefore w:val="0"/>
              <w:widowControl/>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 w:val="24"/>
              </w:rPr>
              <w:t>典型应用领域</w:t>
            </w:r>
          </w:p>
        </w:tc>
        <w:tc>
          <w:tcPr>
            <w:tcBorders>
              <w:top w:val="single" w:color="222222" w:sz="6" w:space="0"/>
              <w:left w:val="single" w:color="222222" w:sz="6" w:space="0"/>
              <w:bottom w:val="single" w:color="222222" w:sz="6" w:space="0"/>
              <w:right w:val="single" w:color="222222" w:sz="6" w:space="0"/>
            </w:tcBorders>
          </w:tcPr>
          <w:p w14:paraId="07D84422">
            <w:pPr>
              <w:pageBreakBefore w:val="0"/>
              <w:widowControl/>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 w:val="24"/>
              </w:rPr>
              <w:t>教学改革方向</w:t>
            </w:r>
          </w:p>
        </w:tc>
        <w:tc>
          <w:tcPr>
            <w:tcBorders>
              <w:top w:val="single" w:color="222222" w:sz="6" w:space="0"/>
              <w:left w:val="single" w:color="222222" w:sz="6" w:space="0"/>
              <w:bottom w:val="single" w:color="222222" w:sz="6" w:space="0"/>
              <w:right w:val="single" w:color="222222" w:sz="6" w:space="0"/>
            </w:tcBorders>
          </w:tcPr>
          <w:p w14:paraId="74D9E538">
            <w:pPr>
              <w:pageBreakBefore w:val="0"/>
              <w:widowControl/>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 w:val="24"/>
              </w:rPr>
              <w:t>代表性实践参考</w:t>
            </w:r>
          </w:p>
        </w:tc>
      </w:tr>
      <w:tr w14:paraId="5BF60F29">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4F62A9C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交互界面设计技术</w:t>
            </w:r>
          </w:p>
        </w:tc>
        <w:tc>
          <w:tcPr>
            <w:tcBorders>
              <w:top w:val="single" w:color="222222" w:sz="6" w:space="0"/>
              <w:left w:val="single" w:color="222222" w:sz="6" w:space="0"/>
              <w:bottom w:val="single" w:color="222222" w:sz="6" w:space="0"/>
              <w:right w:val="single" w:color="222222" w:sz="6" w:space="0"/>
            </w:tcBorders>
          </w:tcPr>
          <w:p w14:paraId="3E5ED94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用户体验洞察能力、交互逻辑设计能力、视觉美学表现能力</w:t>
            </w:r>
          </w:p>
        </w:tc>
        <w:tc>
          <w:tcPr>
            <w:tcBorders>
              <w:top w:val="single" w:color="222222" w:sz="6" w:space="0"/>
              <w:left w:val="single" w:color="222222" w:sz="6" w:space="0"/>
              <w:bottom w:val="single" w:color="222222" w:sz="6" w:space="0"/>
              <w:right w:val="single" w:color="222222" w:sz="6" w:space="0"/>
            </w:tcBorders>
          </w:tcPr>
          <w:p w14:paraId="7D51BD3D">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互联网产品、移动应用、智能终端</w:t>
            </w:r>
          </w:p>
        </w:tc>
        <w:tc>
          <w:tcPr>
            <w:tcBorders>
              <w:top w:val="single" w:color="222222" w:sz="6" w:space="0"/>
              <w:left w:val="single" w:color="222222" w:sz="6" w:space="0"/>
              <w:bottom w:val="single" w:color="222222" w:sz="6" w:space="0"/>
              <w:right w:val="single" w:color="222222" w:sz="6" w:space="0"/>
            </w:tcBorders>
          </w:tcPr>
          <w:p w14:paraId="27D9985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引入用户研究方法论、强化原型设计工具实战、结合AIGC辅助设计</w:t>
            </w:r>
          </w:p>
        </w:tc>
        <w:tc>
          <w:tcPr>
            <w:tcBorders>
              <w:top w:val="single" w:color="222222" w:sz="6" w:space="0"/>
              <w:left w:val="single" w:color="222222" w:sz="6" w:space="0"/>
              <w:bottom w:val="single" w:color="222222" w:sz="6" w:space="0"/>
              <w:right w:val="single" w:color="222222" w:sz="6" w:space="0"/>
            </w:tcBorders>
          </w:tcPr>
          <w:p w14:paraId="771DB0F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业界最新的设计系统（如Material Design 3）</w:t>
            </w:r>
          </w:p>
        </w:tc>
      </w:tr>
      <w:tr w14:paraId="4747083E">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579A649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商业摄影技术</w:t>
            </w:r>
          </w:p>
        </w:tc>
        <w:tc>
          <w:tcPr>
            <w:tcBorders>
              <w:top w:val="single" w:color="222222" w:sz="6" w:space="0"/>
              <w:left w:val="single" w:color="222222" w:sz="6" w:space="0"/>
              <w:bottom w:val="single" w:color="222222" w:sz="6" w:space="0"/>
              <w:right w:val="single" w:color="222222" w:sz="6" w:space="0"/>
            </w:tcBorders>
          </w:tcPr>
          <w:p w14:paraId="7842AD6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商业视觉策划能力、光影造型能力、产品表现能力</w:t>
            </w:r>
          </w:p>
        </w:tc>
        <w:tc>
          <w:tcPr>
            <w:tcBorders>
              <w:top w:val="single" w:color="222222" w:sz="6" w:space="0"/>
              <w:left w:val="single" w:color="222222" w:sz="6" w:space="0"/>
              <w:bottom w:val="single" w:color="222222" w:sz="6" w:space="0"/>
              <w:right w:val="single" w:color="222222" w:sz="6" w:space="0"/>
            </w:tcBorders>
          </w:tcPr>
          <w:p w14:paraId="528A8DF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广告、电商、品牌宣传</w:t>
            </w:r>
          </w:p>
        </w:tc>
        <w:tc>
          <w:tcPr>
            <w:tcBorders>
              <w:top w:val="single" w:color="222222" w:sz="6" w:space="0"/>
              <w:left w:val="single" w:color="222222" w:sz="6" w:space="0"/>
              <w:bottom w:val="single" w:color="222222" w:sz="6" w:space="0"/>
              <w:right w:val="single" w:color="222222" w:sz="6" w:space="0"/>
            </w:tcBorders>
          </w:tcPr>
          <w:p w14:paraId="14F9A6C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强化灯光布控实战、融入短视频思维、结合新媒体传播特性</w:t>
            </w:r>
          </w:p>
        </w:tc>
        <w:tc>
          <w:tcPr>
            <w:tcBorders>
              <w:top w:val="single" w:color="222222" w:sz="6" w:space="0"/>
              <w:left w:val="single" w:color="222222" w:sz="6" w:space="0"/>
              <w:bottom w:val="single" w:color="222222" w:sz="6" w:space="0"/>
              <w:right w:val="single" w:color="222222" w:sz="6" w:space="0"/>
            </w:tcBorders>
          </w:tcPr>
          <w:p w14:paraId="53B7EC6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模拟真实商业拍摄项目流程</w:t>
            </w:r>
          </w:p>
        </w:tc>
      </w:tr>
      <w:tr w14:paraId="7C4A2D8F">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3F676C8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虚拟场景搭建技术</w:t>
            </w:r>
          </w:p>
        </w:tc>
        <w:tc>
          <w:tcPr>
            <w:tcBorders>
              <w:top w:val="single" w:color="222222" w:sz="6" w:space="0"/>
              <w:left w:val="single" w:color="222222" w:sz="6" w:space="0"/>
              <w:bottom w:val="single" w:color="222222" w:sz="6" w:space="0"/>
              <w:right w:val="single" w:color="222222" w:sz="6" w:space="0"/>
            </w:tcBorders>
          </w:tcPr>
          <w:p w14:paraId="27414BC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三维空间构建能力、数字资产创建与管理能力、实时渲染技术应用能力</w:t>
            </w:r>
          </w:p>
        </w:tc>
        <w:tc>
          <w:tcPr>
            <w:tcBorders>
              <w:top w:val="single" w:color="222222" w:sz="6" w:space="0"/>
              <w:left w:val="single" w:color="222222" w:sz="6" w:space="0"/>
              <w:bottom w:val="single" w:color="222222" w:sz="6" w:space="0"/>
              <w:right w:val="single" w:color="222222" w:sz="6" w:space="0"/>
            </w:tcBorders>
          </w:tcPr>
          <w:p w14:paraId="47DECB6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元宇宙、虚拟直播、数字展厅、影视预演</w:t>
            </w:r>
          </w:p>
        </w:tc>
        <w:tc>
          <w:tcPr>
            <w:tcBorders>
              <w:top w:val="single" w:color="222222" w:sz="6" w:space="0"/>
              <w:left w:val="single" w:color="222222" w:sz="6" w:space="0"/>
              <w:bottom w:val="single" w:color="222222" w:sz="6" w:space="0"/>
              <w:right w:val="single" w:color="222222" w:sz="6" w:space="0"/>
            </w:tcBorders>
          </w:tcPr>
          <w:p w14:paraId="4E4A581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引入游戏引擎（如Unity, UE）进行实时交互场景开发</w:t>
            </w:r>
          </w:p>
        </w:tc>
        <w:tc>
          <w:tcPr>
            <w:tcBorders>
              <w:top w:val="single" w:color="222222" w:sz="6" w:space="0"/>
              <w:left w:val="single" w:color="222222" w:sz="6" w:space="0"/>
              <w:bottom w:val="single" w:color="222222" w:sz="6" w:space="0"/>
              <w:right w:val="single" w:color="222222" w:sz="6" w:space="0"/>
            </w:tcBorders>
          </w:tcPr>
          <w:p w14:paraId="71F2169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王偲（</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）VR技术应用理念</w:t>
            </w:r>
          </w:p>
        </w:tc>
      </w:tr>
      <w:tr w14:paraId="05BE581B">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4C2375D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影视剪辑实训</w:t>
            </w:r>
          </w:p>
        </w:tc>
        <w:tc>
          <w:tcPr>
            <w:tcBorders>
              <w:top w:val="single" w:color="222222" w:sz="6" w:space="0"/>
              <w:left w:val="single" w:color="222222" w:sz="6" w:space="0"/>
              <w:bottom w:val="single" w:color="222222" w:sz="6" w:space="0"/>
              <w:right w:val="single" w:color="222222" w:sz="6" w:space="0"/>
            </w:tcBorders>
          </w:tcPr>
          <w:p w14:paraId="6556E65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叙事结构把握能力、节奏感控制能力、多格式素材处理能力</w:t>
            </w:r>
          </w:p>
        </w:tc>
        <w:tc>
          <w:tcPr>
            <w:tcBorders>
              <w:top w:val="single" w:color="222222" w:sz="6" w:space="0"/>
              <w:left w:val="single" w:color="222222" w:sz="6" w:space="0"/>
              <w:bottom w:val="single" w:color="222222" w:sz="6" w:space="0"/>
              <w:right w:val="single" w:color="222222" w:sz="6" w:space="0"/>
            </w:tcBorders>
          </w:tcPr>
          <w:p w14:paraId="24F9399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影视剧、纪录片、短视频、宣传片</w:t>
            </w:r>
          </w:p>
        </w:tc>
        <w:tc>
          <w:tcPr>
            <w:tcBorders>
              <w:top w:val="single" w:color="222222" w:sz="6" w:space="0"/>
              <w:left w:val="single" w:color="222222" w:sz="6" w:space="0"/>
              <w:bottom w:val="single" w:color="222222" w:sz="6" w:space="0"/>
              <w:right w:val="single" w:color="222222" w:sz="6" w:space="0"/>
            </w:tcBorders>
          </w:tcPr>
          <w:p w14:paraId="5A837A6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强化故事板设计、增加多机位剪辑与调色实战</w:t>
            </w:r>
          </w:p>
        </w:tc>
        <w:tc>
          <w:tcPr>
            <w:tcBorders>
              <w:top w:val="single" w:color="222222" w:sz="6" w:space="0"/>
              <w:left w:val="single" w:color="222222" w:sz="6" w:space="0"/>
              <w:bottom w:val="single" w:color="222222" w:sz="6" w:space="0"/>
              <w:right w:val="single" w:color="222222" w:sz="6" w:space="0"/>
            </w:tcBorders>
          </w:tcPr>
          <w:p w14:paraId="7242C72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基于真实剧本进行全流程剪辑练习</w:t>
            </w:r>
          </w:p>
        </w:tc>
      </w:tr>
      <w:tr w14:paraId="08772797">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205B5AD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H5动画制作技术</w:t>
            </w:r>
          </w:p>
        </w:tc>
        <w:tc>
          <w:tcPr>
            <w:tcBorders>
              <w:top w:val="single" w:color="222222" w:sz="6" w:space="0"/>
              <w:left w:val="single" w:color="222222" w:sz="6" w:space="0"/>
              <w:bottom w:val="single" w:color="222222" w:sz="6" w:space="0"/>
              <w:right w:val="single" w:color="222222" w:sz="6" w:space="0"/>
            </w:tcBorders>
          </w:tcPr>
          <w:p w14:paraId="2725ED5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互动叙事设计能力、前端动效实现能力、跨平台适配能力</w:t>
            </w:r>
          </w:p>
        </w:tc>
        <w:tc>
          <w:tcPr>
            <w:tcBorders>
              <w:top w:val="single" w:color="222222" w:sz="6" w:space="0"/>
              <w:left w:val="single" w:color="222222" w:sz="6" w:space="0"/>
              <w:bottom w:val="single" w:color="222222" w:sz="6" w:space="0"/>
              <w:right w:val="single" w:color="222222" w:sz="6" w:space="0"/>
            </w:tcBorders>
          </w:tcPr>
          <w:p w14:paraId="4E205B6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营销活动、品牌宣传、在线教育</w:t>
            </w:r>
          </w:p>
        </w:tc>
        <w:tc>
          <w:tcPr>
            <w:tcBorders>
              <w:top w:val="single" w:color="222222" w:sz="6" w:space="0"/>
              <w:left w:val="single" w:color="222222" w:sz="6" w:space="0"/>
              <w:bottom w:val="single" w:color="222222" w:sz="6" w:space="0"/>
              <w:right w:val="single" w:color="222222" w:sz="6" w:space="0"/>
            </w:tcBorders>
          </w:tcPr>
          <w:p w14:paraId="65BC452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结合JavaScript交互编程、关注移动端性能优化</w:t>
            </w:r>
          </w:p>
        </w:tc>
        <w:tc>
          <w:tcPr>
            <w:tcBorders>
              <w:top w:val="single" w:color="222222" w:sz="6" w:space="0"/>
              <w:left w:val="single" w:color="222222" w:sz="6" w:space="0"/>
              <w:bottom w:val="single" w:color="222222" w:sz="6" w:space="0"/>
              <w:right w:val="single" w:color="222222" w:sz="6" w:space="0"/>
            </w:tcBorders>
          </w:tcPr>
          <w:p w14:paraId="747AA92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开发完整的交互式H5营销案例</w:t>
            </w:r>
          </w:p>
        </w:tc>
      </w:tr>
      <w:tr w14:paraId="6FAE9798">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49EE8AB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音视频处理技术</w:t>
            </w:r>
          </w:p>
        </w:tc>
        <w:tc>
          <w:tcPr>
            <w:tcBorders>
              <w:top w:val="single" w:color="222222" w:sz="6" w:space="0"/>
              <w:left w:val="single" w:color="222222" w:sz="6" w:space="0"/>
              <w:bottom w:val="single" w:color="222222" w:sz="6" w:space="0"/>
              <w:right w:val="single" w:color="222222" w:sz="6" w:space="0"/>
            </w:tcBorders>
          </w:tcPr>
          <w:p w14:paraId="48611F4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音频修复与美化能力、多轨混音能力、音画同步技术能力</w:t>
            </w:r>
          </w:p>
        </w:tc>
        <w:tc>
          <w:tcPr>
            <w:tcBorders>
              <w:top w:val="single" w:color="222222" w:sz="6" w:space="0"/>
              <w:left w:val="single" w:color="222222" w:sz="6" w:space="0"/>
              <w:bottom w:val="single" w:color="222222" w:sz="6" w:space="0"/>
              <w:right w:val="single" w:color="222222" w:sz="6" w:space="0"/>
            </w:tcBorders>
          </w:tcPr>
          <w:p w14:paraId="4C4012D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广播、影视、 podcast、在线课程</w:t>
            </w:r>
          </w:p>
        </w:tc>
        <w:tc>
          <w:tcPr>
            <w:tcBorders>
              <w:top w:val="single" w:color="222222" w:sz="6" w:space="0"/>
              <w:left w:val="single" w:color="222222" w:sz="6" w:space="0"/>
              <w:bottom w:val="single" w:color="222222" w:sz="6" w:space="0"/>
              <w:right w:val="single" w:color="222222" w:sz="6" w:space="0"/>
            </w:tcBorders>
          </w:tcPr>
          <w:p w14:paraId="513644C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引入AI降噪、语音增强等智能工具教学</w:t>
            </w:r>
          </w:p>
        </w:tc>
        <w:tc>
          <w:tcPr>
            <w:tcBorders>
              <w:top w:val="single" w:color="222222" w:sz="6" w:space="0"/>
              <w:left w:val="single" w:color="222222" w:sz="6" w:space="0"/>
              <w:bottom w:val="single" w:color="222222" w:sz="6" w:space="0"/>
              <w:right w:val="single" w:color="222222" w:sz="6" w:space="0"/>
            </w:tcBorders>
          </w:tcPr>
          <w:p w14:paraId="595F059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完成从录音到混音输出的完整作品</w:t>
            </w:r>
          </w:p>
        </w:tc>
      </w:tr>
      <w:tr w14:paraId="7109FF13">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55327AB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融媒体制作发布实训</w:t>
            </w:r>
          </w:p>
        </w:tc>
        <w:tc>
          <w:tcPr>
            <w:tcBorders>
              <w:top w:val="single" w:color="222222" w:sz="6" w:space="0"/>
              <w:left w:val="single" w:color="222222" w:sz="6" w:space="0"/>
              <w:bottom w:val="single" w:color="222222" w:sz="6" w:space="0"/>
              <w:right w:val="single" w:color="222222" w:sz="6" w:space="0"/>
            </w:tcBorders>
          </w:tcPr>
          <w:p w14:paraId="1DE2720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全媒体内容策划能力、多平台分发策略能力、数据监测与优化能力</w:t>
            </w:r>
          </w:p>
        </w:tc>
        <w:tc>
          <w:tcPr>
            <w:tcBorders>
              <w:top w:val="single" w:color="222222" w:sz="6" w:space="0"/>
              <w:left w:val="single" w:color="222222" w:sz="6" w:space="0"/>
              <w:bottom w:val="single" w:color="222222" w:sz="6" w:space="0"/>
              <w:right w:val="single" w:color="222222" w:sz="6" w:space="0"/>
            </w:tcBorders>
          </w:tcPr>
          <w:p w14:paraId="0C48F59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融媒体中心、MCN机构、企业宣传部门</w:t>
            </w:r>
          </w:p>
        </w:tc>
        <w:tc>
          <w:tcPr>
            <w:tcBorders>
              <w:top w:val="single" w:color="222222" w:sz="6" w:space="0"/>
              <w:left w:val="single" w:color="222222" w:sz="6" w:space="0"/>
              <w:bottom w:val="single" w:color="222222" w:sz="6" w:space="0"/>
              <w:right w:val="single" w:color="222222" w:sz="6" w:space="0"/>
            </w:tcBorders>
          </w:tcPr>
          <w:p w14:paraId="7448BE4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采用项目式教学，模拟真实融媒体中心运营</w:t>
            </w:r>
          </w:p>
        </w:tc>
        <w:tc>
          <w:tcPr>
            <w:tcBorders>
              <w:top w:val="single" w:color="222222" w:sz="6" w:space="0"/>
              <w:left w:val="single" w:color="222222" w:sz="6" w:space="0"/>
              <w:bottom w:val="single" w:color="222222" w:sz="6" w:space="0"/>
              <w:right w:val="single" w:color="222222" w:sz="6" w:space="0"/>
            </w:tcBorders>
          </w:tcPr>
          <w:p w14:paraId="3F1AB58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金鑫（</w:t>
            </w:r>
            <w:r>
              <w:rPr>
                <w:rFonts w:hint="eastAsia" w:asciiTheme="minorEastAsia" w:hAnsiTheme="minorEastAsia" w:eastAsiaTheme="minorEastAsia" w:cstheme="minorEastAsia"/>
                <w:sz w:val="24"/>
                <w:lang w:eastAsia="zh-CN"/>
              </w:rPr>
              <w:t>2023</w:t>
            </w:r>
            <w:r>
              <w:rPr>
                <w:rFonts w:hint="eastAsia" w:asciiTheme="minorEastAsia" w:hAnsiTheme="minorEastAsia" w:eastAsiaTheme="minorEastAsia" w:cstheme="minorEastAsia"/>
                <w:sz w:val="24"/>
              </w:rPr>
              <w:t>）项目式教学法</w:t>
            </w:r>
          </w:p>
        </w:tc>
      </w:tr>
      <w:tr w14:paraId="3042893B">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413A75E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直播技术与运营</w:t>
            </w:r>
          </w:p>
        </w:tc>
        <w:tc>
          <w:tcPr>
            <w:tcBorders>
              <w:top w:val="single" w:color="222222" w:sz="6" w:space="0"/>
              <w:left w:val="single" w:color="222222" w:sz="6" w:space="0"/>
              <w:bottom w:val="single" w:color="222222" w:sz="6" w:space="0"/>
              <w:right w:val="single" w:color="222222" w:sz="6" w:space="0"/>
            </w:tcBorders>
          </w:tcPr>
          <w:p w14:paraId="08065A4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直播流程管控能力、现场应变能力、流量获取与转化能力</w:t>
            </w:r>
          </w:p>
        </w:tc>
        <w:tc>
          <w:tcPr>
            <w:tcBorders>
              <w:top w:val="single" w:color="222222" w:sz="6" w:space="0"/>
              <w:left w:val="single" w:color="222222" w:sz="6" w:space="0"/>
              <w:bottom w:val="single" w:color="222222" w:sz="6" w:space="0"/>
              <w:right w:val="single" w:color="222222" w:sz="6" w:space="0"/>
            </w:tcBorders>
          </w:tcPr>
          <w:p w14:paraId="017E2B6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电商直播、活动直播、教育直播</w:t>
            </w:r>
          </w:p>
        </w:tc>
        <w:tc>
          <w:tcPr>
            <w:tcBorders>
              <w:top w:val="single" w:color="222222" w:sz="6" w:space="0"/>
              <w:left w:val="single" w:color="222222" w:sz="6" w:space="0"/>
              <w:bottom w:val="single" w:color="222222" w:sz="6" w:space="0"/>
              <w:right w:val="single" w:color="222222" w:sz="6" w:space="0"/>
            </w:tcBorders>
          </w:tcPr>
          <w:p w14:paraId="162861D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搭建真实直播环境，进行从策划到复盘的全流程训练</w:t>
            </w:r>
          </w:p>
        </w:tc>
        <w:tc>
          <w:tcPr>
            <w:tcBorders>
              <w:top w:val="single" w:color="222222" w:sz="6" w:space="0"/>
              <w:left w:val="single" w:color="222222" w:sz="6" w:space="0"/>
              <w:bottom w:val="single" w:color="222222" w:sz="6" w:space="0"/>
              <w:right w:val="single" w:color="222222" w:sz="6" w:space="0"/>
            </w:tcBorders>
          </w:tcPr>
          <w:p w14:paraId="5D61369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引入主流直播平台后台操作</w:t>
            </w:r>
          </w:p>
        </w:tc>
      </w:tr>
      <w:tr w14:paraId="25E71B11">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3E974AA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短视频策划与制作</w:t>
            </w:r>
          </w:p>
        </w:tc>
        <w:tc>
          <w:tcPr>
            <w:tcBorders>
              <w:top w:val="single" w:color="222222" w:sz="6" w:space="0"/>
              <w:left w:val="single" w:color="222222" w:sz="6" w:space="0"/>
              <w:bottom w:val="single" w:color="222222" w:sz="6" w:space="0"/>
              <w:right w:val="single" w:color="222222" w:sz="6" w:space="0"/>
            </w:tcBorders>
          </w:tcPr>
          <w:p w14:paraId="3583D73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短视频创意策划能力、快速出片能力、平台算法理解能力</w:t>
            </w:r>
          </w:p>
        </w:tc>
        <w:tc>
          <w:tcPr>
            <w:tcBorders>
              <w:top w:val="single" w:color="222222" w:sz="6" w:space="0"/>
              <w:left w:val="single" w:color="222222" w:sz="6" w:space="0"/>
              <w:bottom w:val="single" w:color="222222" w:sz="6" w:space="0"/>
              <w:right w:val="single" w:color="222222" w:sz="6" w:space="0"/>
            </w:tcBorders>
          </w:tcPr>
          <w:p w14:paraId="21E4882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社交媒体、品牌营销、知识付费</w:t>
            </w:r>
          </w:p>
        </w:tc>
        <w:tc>
          <w:tcPr>
            <w:tcBorders>
              <w:top w:val="single" w:color="222222" w:sz="6" w:space="0"/>
              <w:left w:val="single" w:color="222222" w:sz="6" w:space="0"/>
              <w:bottom w:val="single" w:color="222222" w:sz="6" w:space="0"/>
              <w:right w:val="single" w:color="222222" w:sz="6" w:space="0"/>
            </w:tcBorders>
          </w:tcPr>
          <w:p w14:paraId="05E02E1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强调账号定位、内容规划、数据分析与迭代优化</w:t>
            </w:r>
          </w:p>
        </w:tc>
        <w:tc>
          <w:tcPr>
            <w:tcBorders>
              <w:top w:val="single" w:color="222222" w:sz="6" w:space="0"/>
              <w:left w:val="single" w:color="222222" w:sz="6" w:space="0"/>
              <w:bottom w:val="single" w:color="222222" w:sz="6" w:space="0"/>
              <w:right w:val="single" w:color="222222" w:sz="6" w:space="0"/>
            </w:tcBorders>
          </w:tcPr>
          <w:p w14:paraId="1A08AE8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运营一个真实的短视频账号作为课程作业</w:t>
            </w:r>
          </w:p>
        </w:tc>
      </w:tr>
      <w:tr w14:paraId="63C5379D">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0AE818C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720全景拍摄与缝合技术</w:t>
            </w:r>
          </w:p>
        </w:tc>
        <w:tc>
          <w:tcPr>
            <w:tcBorders>
              <w:top w:val="single" w:color="222222" w:sz="6" w:space="0"/>
              <w:left w:val="single" w:color="222222" w:sz="6" w:space="0"/>
              <w:bottom w:val="single" w:color="222222" w:sz="6" w:space="0"/>
              <w:right w:val="single" w:color="222222" w:sz="6" w:space="0"/>
            </w:tcBorders>
          </w:tcPr>
          <w:p w14:paraId="19F3CD3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全景影像采集能力、空间数据处理能力、沉浸式内容设计能力</w:t>
            </w:r>
          </w:p>
        </w:tc>
        <w:tc>
          <w:tcPr>
            <w:tcBorders>
              <w:top w:val="single" w:color="222222" w:sz="6" w:space="0"/>
              <w:left w:val="single" w:color="222222" w:sz="6" w:space="0"/>
              <w:bottom w:val="single" w:color="222222" w:sz="6" w:space="0"/>
              <w:right w:val="single" w:color="222222" w:sz="6" w:space="0"/>
            </w:tcBorders>
          </w:tcPr>
          <w:p w14:paraId="6AA39F9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虚拟旅游、房产展示、工程勘察</w:t>
            </w:r>
          </w:p>
        </w:tc>
        <w:tc>
          <w:tcPr>
            <w:tcBorders>
              <w:top w:val="single" w:color="222222" w:sz="6" w:space="0"/>
              <w:left w:val="single" w:color="222222" w:sz="6" w:space="0"/>
              <w:bottom w:val="single" w:color="222222" w:sz="6" w:space="0"/>
              <w:right w:val="single" w:color="222222" w:sz="6" w:space="0"/>
            </w:tcBorders>
          </w:tcPr>
          <w:p w14:paraId="1D755F0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结合VR头盔进行体验与优化，探索行业应用场景</w:t>
            </w:r>
          </w:p>
        </w:tc>
        <w:tc>
          <w:tcPr>
            <w:tcBorders>
              <w:top w:val="single" w:color="222222" w:sz="6" w:space="0"/>
              <w:left w:val="single" w:color="222222" w:sz="6" w:space="0"/>
              <w:bottom w:val="single" w:color="222222" w:sz="6" w:space="0"/>
              <w:right w:val="single" w:color="222222" w:sz="6" w:space="0"/>
            </w:tcBorders>
          </w:tcPr>
          <w:p w14:paraId="5880951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完成一个完整的全景漫游项目</w:t>
            </w:r>
          </w:p>
        </w:tc>
      </w:tr>
      <w:tr w14:paraId="29A75DD8">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1A42D59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三维影视包装与片头设计</w:t>
            </w:r>
          </w:p>
        </w:tc>
        <w:tc>
          <w:tcPr>
            <w:tcBorders>
              <w:top w:val="single" w:color="222222" w:sz="6" w:space="0"/>
              <w:left w:val="single" w:color="222222" w:sz="6" w:space="0"/>
              <w:bottom w:val="single" w:color="222222" w:sz="6" w:space="0"/>
              <w:right w:val="single" w:color="222222" w:sz="6" w:space="0"/>
            </w:tcBorders>
          </w:tcPr>
          <w:p w14:paraId="388D8F5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三维视觉创意能力、动态图形设计能力、品牌视觉形象塑造能力</w:t>
            </w:r>
          </w:p>
        </w:tc>
        <w:tc>
          <w:tcPr>
            <w:tcBorders>
              <w:top w:val="single" w:color="222222" w:sz="6" w:space="0"/>
              <w:left w:val="single" w:color="222222" w:sz="6" w:space="0"/>
              <w:bottom w:val="single" w:color="222222" w:sz="6" w:space="0"/>
              <w:right w:val="single" w:color="222222" w:sz="6" w:space="0"/>
            </w:tcBorders>
          </w:tcPr>
          <w:p w14:paraId="5F6F2B3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电视台、影视公司、品牌形象包装</w:t>
            </w:r>
          </w:p>
        </w:tc>
        <w:tc>
          <w:tcPr>
            <w:tcBorders>
              <w:top w:val="single" w:color="222222" w:sz="6" w:space="0"/>
              <w:left w:val="single" w:color="222222" w:sz="6" w:space="0"/>
              <w:bottom w:val="single" w:color="222222" w:sz="6" w:space="0"/>
              <w:right w:val="single" w:color="222222" w:sz="6" w:space="0"/>
            </w:tcBorders>
          </w:tcPr>
          <w:p w14:paraId="413F4B6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强化C4D/Blender等软件高级技法，结合实拍素材进行合成</w:t>
            </w:r>
          </w:p>
        </w:tc>
        <w:tc>
          <w:tcPr>
            <w:tcBorders>
              <w:top w:val="single" w:color="222222" w:sz="6" w:space="0"/>
              <w:left w:val="single" w:color="222222" w:sz="6" w:space="0"/>
              <w:bottom w:val="single" w:color="222222" w:sz="6" w:space="0"/>
              <w:right w:val="single" w:color="222222" w:sz="6" w:space="0"/>
            </w:tcBorders>
          </w:tcPr>
          <w:p w14:paraId="6C047BD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创作具有品牌价值的片头包装作品</w:t>
            </w:r>
          </w:p>
        </w:tc>
      </w:tr>
      <w:tr w14:paraId="645B7AE7">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02E4C9C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影视特效制作与合成</w:t>
            </w:r>
          </w:p>
        </w:tc>
        <w:tc>
          <w:tcPr>
            <w:tcBorders>
              <w:top w:val="single" w:color="222222" w:sz="6" w:space="0"/>
              <w:left w:val="single" w:color="222222" w:sz="6" w:space="0"/>
              <w:bottom w:val="single" w:color="222222" w:sz="6" w:space="0"/>
              <w:right w:val="single" w:color="222222" w:sz="6" w:space="0"/>
            </w:tcBorders>
          </w:tcPr>
          <w:p w14:paraId="0C12E56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视觉特效创意与实现能力、抠像与合成技术能力、物理模拟应用能力</w:t>
            </w:r>
          </w:p>
        </w:tc>
        <w:tc>
          <w:tcPr>
            <w:tcBorders>
              <w:top w:val="single" w:color="222222" w:sz="6" w:space="0"/>
              <w:left w:val="single" w:color="222222" w:sz="6" w:space="0"/>
              <w:bottom w:val="single" w:color="222222" w:sz="6" w:space="0"/>
              <w:right w:val="single" w:color="222222" w:sz="6" w:space="0"/>
            </w:tcBorders>
          </w:tcPr>
          <w:p w14:paraId="4353298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电影、电视剧、广告</w:t>
            </w:r>
          </w:p>
        </w:tc>
        <w:tc>
          <w:tcPr>
            <w:tcBorders>
              <w:top w:val="single" w:color="222222" w:sz="6" w:space="0"/>
              <w:left w:val="single" w:color="222222" w:sz="6" w:space="0"/>
              <w:bottom w:val="single" w:color="222222" w:sz="6" w:space="0"/>
              <w:right w:val="single" w:color="222222" w:sz="6" w:space="0"/>
            </w:tcBorders>
          </w:tcPr>
          <w:p w14:paraId="7B78284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引入节点式合成软件（如Nuke）教学，关注高效工作流</w:t>
            </w:r>
          </w:p>
        </w:tc>
        <w:tc>
          <w:tcPr>
            <w:tcBorders>
              <w:top w:val="single" w:color="222222" w:sz="6" w:space="0"/>
              <w:left w:val="single" w:color="222222" w:sz="6" w:space="0"/>
              <w:bottom w:val="single" w:color="222222" w:sz="6" w:space="0"/>
              <w:right w:val="single" w:color="222222" w:sz="6" w:space="0"/>
            </w:tcBorders>
          </w:tcPr>
          <w:p w14:paraId="335BAAA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完成一个包含复杂合成的特效镜头</w:t>
            </w:r>
          </w:p>
        </w:tc>
      </w:tr>
      <w:tr w14:paraId="136DE7E9">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1403CE7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UI界面设计</w:t>
            </w:r>
          </w:p>
        </w:tc>
        <w:tc>
          <w:tcPr>
            <w:tcBorders>
              <w:top w:val="single" w:color="222222" w:sz="6" w:space="0"/>
              <w:left w:val="single" w:color="222222" w:sz="6" w:space="0"/>
              <w:bottom w:val="single" w:color="222222" w:sz="6" w:space="0"/>
              <w:right w:val="single" w:color="222222" w:sz="6" w:space="0"/>
            </w:tcBorders>
          </w:tcPr>
          <w:p w14:paraId="44C18FB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用户界面视觉设计能力、设计规范制定能力、跨端适配能力</w:t>
            </w:r>
          </w:p>
        </w:tc>
        <w:tc>
          <w:tcPr>
            <w:tcBorders>
              <w:top w:val="single" w:color="222222" w:sz="6" w:space="0"/>
              <w:left w:val="single" w:color="222222" w:sz="6" w:space="0"/>
              <w:bottom w:val="single" w:color="222222" w:sz="6" w:space="0"/>
              <w:right w:val="single" w:color="222222" w:sz="6" w:space="0"/>
            </w:tcBorders>
          </w:tcPr>
          <w:p w14:paraId="1520AD6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APP、网页、软件界面、物联网设备</w:t>
            </w:r>
          </w:p>
        </w:tc>
        <w:tc>
          <w:tcPr>
            <w:tcBorders>
              <w:top w:val="single" w:color="222222" w:sz="6" w:space="0"/>
              <w:left w:val="single" w:color="222222" w:sz="6" w:space="0"/>
              <w:bottom w:val="single" w:color="222222" w:sz="6" w:space="0"/>
              <w:right w:val="single" w:color="222222" w:sz="6" w:space="0"/>
            </w:tcBorders>
          </w:tcPr>
          <w:p w14:paraId="2EB0DCB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强化组件化设计思维、引入设计协作工具、关注无障碍设计</w:t>
            </w:r>
          </w:p>
        </w:tc>
        <w:tc>
          <w:tcPr>
            <w:tcBorders>
              <w:top w:val="single" w:color="222222" w:sz="6" w:space="0"/>
              <w:left w:val="single" w:color="222222" w:sz="6" w:space="0"/>
              <w:bottom w:val="single" w:color="222222" w:sz="6" w:space="0"/>
              <w:right w:val="single" w:color="222222" w:sz="6" w:space="0"/>
            </w:tcBorders>
          </w:tcPr>
          <w:p w14:paraId="4A3A0AD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完成一套完整的产品UI设计稿及交互原型</w:t>
            </w:r>
          </w:p>
        </w:tc>
      </w:tr>
    </w:tbl>
    <w:p w14:paraId="312BDD9E">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6. 加强师资队伍建设，提升“双师”素质</w:t>
      </w:r>
    </w:p>
    <w:p w14:paraId="60EB30D1">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制定专任教师定期到企业顶岗实践或参与技术研发的制度，不断提升教师的专业实践能力和行业洞察力。同时，加大从行业企业引进高水平兼职教师的力度，优化师资队伍结构。鼓励教师参与技术培训、行业会议和教学能力比赛，组建课程教学团队，共同开展教学改革研究，如李燕临（2005）所倡导的课程整合探索，持续提升整体教学水平。</w:t>
      </w:r>
    </w:p>
    <w:p w14:paraId="10711004">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通过以上措施的协同推进，有望构建一个科学、高效、前瞻的融媒体技术与运营专业人才培养体系，为行业输送更多高素质技术技能人才，满足融媒体时代对复合型创新人才的迫切需求。</w:t>
      </w:r>
    </w:p>
    <w:p w14:paraId="2E5EB5A6">
      <w:bookmarkStart w:id="22" w:name="_GoBack"/>
      <w:bookmarkEnd w:id="22"/>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21">
    <w:altName w:val="MV Boli"/>
    <w:panose1 w:val="02000503000000000000"/>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37F455"/>
    <w:multiLevelType w:val="singleLevel"/>
    <w:tmpl w:val="9537F455"/>
    <w:lvl w:ilvl="0" w:tentative="0">
      <w:start w:val="1"/>
      <w:numFmt w:val="chineseCounting"/>
      <w:suff w:val="nothing"/>
      <w:lvlText w:val="%1、"/>
      <w:lvlJc w:val="left"/>
      <w:pPr>
        <w:ind w:left="-420" w:firstLine="420"/>
      </w:pPr>
      <w:rPr>
        <w:rFonts w:hint="eastAsia"/>
      </w:rPr>
    </w:lvl>
  </w:abstractNum>
  <w:abstractNum w:abstractNumId="1">
    <w:nsid w:val="A86A2498"/>
    <w:multiLevelType w:val="singleLevel"/>
    <w:tmpl w:val="A86A2498"/>
    <w:lvl w:ilvl="0" w:tentative="0">
      <w:start w:val="1"/>
      <w:numFmt w:val="chineseCounting"/>
      <w:suff w:val="nothing"/>
      <w:lvlText w:val="（%1）"/>
      <w:lvlJc w:val="left"/>
      <w:pPr>
        <w:ind w:left="-420" w:firstLine="420"/>
      </w:pPr>
      <w:rPr>
        <w:rFonts w:hint="eastAsia"/>
      </w:rPr>
    </w:lvl>
  </w:abstractNum>
  <w:abstractNum w:abstractNumId="2">
    <w:nsid w:val="AAEA071C"/>
    <w:multiLevelType w:val="singleLevel"/>
    <w:tmpl w:val="AAEA071C"/>
    <w:lvl w:ilvl="0" w:tentative="0">
      <w:start w:val="1"/>
      <w:numFmt w:val="decimal"/>
      <w:lvlText w:val="%1."/>
      <w:lvlJc w:val="left"/>
      <w:pPr>
        <w:ind w:left="425" w:hanging="425"/>
      </w:pPr>
      <w:rPr>
        <w:rFonts w:hint="default"/>
      </w:rPr>
    </w:lvl>
  </w:abstractNum>
  <w:abstractNum w:abstractNumId="3">
    <w:nsid w:val="B2BCABE3"/>
    <w:multiLevelType w:val="singleLevel"/>
    <w:tmpl w:val="B2BCABE3"/>
    <w:lvl w:ilvl="0" w:tentative="0">
      <w:start w:val="1"/>
      <w:numFmt w:val="decimal"/>
      <w:lvlText w:val="%1."/>
      <w:lvlJc w:val="left"/>
      <w:pPr>
        <w:ind w:left="425" w:hanging="425"/>
      </w:pPr>
      <w:rPr>
        <w:rFonts w:hint="default"/>
      </w:rPr>
    </w:lvl>
  </w:abstractNum>
  <w:abstractNum w:abstractNumId="4">
    <w:nsid w:val="DBFA98BD"/>
    <w:multiLevelType w:val="singleLevel"/>
    <w:tmpl w:val="DBFA98BD"/>
    <w:lvl w:ilvl="0" w:tentative="0">
      <w:start w:val="1"/>
      <w:numFmt w:val="chineseCounting"/>
      <w:suff w:val="nothing"/>
      <w:lvlText w:val="（%1）"/>
      <w:lvlJc w:val="left"/>
      <w:pPr>
        <w:ind w:left="-420" w:firstLine="420"/>
      </w:pPr>
      <w:rPr>
        <w:rFonts w:hint="eastAsia"/>
      </w:rPr>
    </w:lvl>
  </w:abstractNum>
  <w:abstractNum w:abstractNumId="5">
    <w:nsid w:val="E92D5A39"/>
    <w:multiLevelType w:val="singleLevel"/>
    <w:tmpl w:val="E92D5A39"/>
    <w:lvl w:ilvl="0" w:tentative="0">
      <w:start w:val="1"/>
      <w:numFmt w:val="chineseCounting"/>
      <w:suff w:val="nothing"/>
      <w:lvlText w:val="（%1）"/>
      <w:lvlJc w:val="left"/>
      <w:pPr>
        <w:ind w:left="-420" w:firstLine="420"/>
      </w:pPr>
      <w:rPr>
        <w:rFonts w:hint="eastAsia"/>
      </w:rPr>
    </w:lvl>
  </w:abstractNum>
  <w:abstractNum w:abstractNumId="6">
    <w:nsid w:val="FFD5E468"/>
    <w:multiLevelType w:val="singleLevel"/>
    <w:tmpl w:val="FFD5E468"/>
    <w:lvl w:ilvl="0" w:tentative="0">
      <w:start w:val="1"/>
      <w:numFmt w:val="decimal"/>
      <w:lvlText w:val="%1."/>
      <w:lvlJc w:val="left"/>
      <w:pPr>
        <w:ind w:left="425" w:hanging="425"/>
      </w:pPr>
      <w:rPr>
        <w:rFonts w:hint="default"/>
      </w:rPr>
    </w:lvl>
  </w:abstractNum>
  <w:abstractNum w:abstractNumId="7">
    <w:nsid w:val="05E9BD45"/>
    <w:multiLevelType w:val="singleLevel"/>
    <w:tmpl w:val="05E9BD45"/>
    <w:lvl w:ilvl="0" w:tentative="0">
      <w:start w:val="1"/>
      <w:numFmt w:val="decimal"/>
      <w:lvlText w:val="%1."/>
      <w:lvlJc w:val="left"/>
      <w:pPr>
        <w:ind w:left="425" w:hanging="425"/>
      </w:pPr>
      <w:rPr>
        <w:rFonts w:hint="default"/>
      </w:rPr>
    </w:lvl>
  </w:abstractNum>
  <w:abstractNum w:abstractNumId="8">
    <w:nsid w:val="448EA270"/>
    <w:multiLevelType w:val="singleLevel"/>
    <w:tmpl w:val="448EA270"/>
    <w:lvl w:ilvl="0" w:tentative="0">
      <w:start w:val="1"/>
      <w:numFmt w:val="chineseCounting"/>
      <w:suff w:val="nothing"/>
      <w:lvlText w:val="（%1）"/>
      <w:lvlJc w:val="left"/>
      <w:pPr>
        <w:ind w:left="-420" w:firstLine="420"/>
      </w:pPr>
      <w:rPr>
        <w:rFonts w:hint="eastAsia"/>
      </w:rPr>
    </w:lvl>
  </w:abstractNum>
  <w:abstractNum w:abstractNumId="9">
    <w:nsid w:val="4E54DBC3"/>
    <w:multiLevelType w:val="singleLevel"/>
    <w:tmpl w:val="4E54DBC3"/>
    <w:lvl w:ilvl="0" w:tentative="0">
      <w:start w:val="1"/>
      <w:numFmt w:val="chineseCounting"/>
      <w:suff w:val="nothing"/>
      <w:lvlText w:val="（%1）"/>
      <w:lvlJc w:val="left"/>
      <w:pPr>
        <w:ind w:left="-420" w:firstLine="420"/>
      </w:pPr>
      <w:rPr>
        <w:rFonts w:hint="eastAsia"/>
      </w:rPr>
    </w:lvl>
  </w:abstractNum>
  <w:abstractNum w:abstractNumId="10">
    <w:nsid w:val="57C8F593"/>
    <w:multiLevelType w:val="singleLevel"/>
    <w:tmpl w:val="57C8F593"/>
    <w:lvl w:ilvl="0" w:tentative="0">
      <w:start w:val="1"/>
      <w:numFmt w:val="decimal"/>
      <w:lvlText w:val="%1."/>
      <w:lvlJc w:val="left"/>
      <w:pPr>
        <w:ind w:left="425" w:hanging="425"/>
      </w:pPr>
      <w:rPr>
        <w:rFonts w:hint="default"/>
      </w:rPr>
    </w:lvl>
  </w:abstractNum>
  <w:num w:numId="1">
    <w:abstractNumId w:val="0"/>
  </w:num>
  <w:num w:numId="2">
    <w:abstractNumId w:val="5"/>
  </w:num>
  <w:num w:numId="3">
    <w:abstractNumId w:val="1"/>
  </w:num>
  <w:num w:numId="4">
    <w:abstractNumId w:val="8"/>
  </w:num>
  <w:num w:numId="5">
    <w:abstractNumId w:val="10"/>
  </w:num>
  <w:num w:numId="6">
    <w:abstractNumId w:val="7"/>
  </w:num>
  <w:num w:numId="7">
    <w:abstractNumId w:val="3"/>
  </w:num>
  <w:num w:numId="8">
    <w:abstractNumId w:val="2"/>
  </w:num>
  <w:num w:numId="9">
    <w:abstractNumId w:val="6"/>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characterSpacingControl w:val="doNotCompress"/>
  <w:footnotePr>
    <w:footnote w:id="0"/>
    <w:footnote w:id="1"/>
  </w:footnotePr>
  <w:endnotePr>
    <w:endnote w:id="0"/>
    <w:endnote w:id="1"/>
  </w:endnotePr>
  <w:compat>
    <w:balanceSingleByteDoubleByteWidth/>
    <w:ulTrailSpace/>
    <w:doNotExpandShiftReturn/>
    <w:useFELayout/>
    <w:compatSetting w:name="compatibilityMode" w:uri="http://schemas.microsoft.com/office/word" w:val="16"/>
    <w:compatSetting w:name="overrideTableStyleFontSizeAndJustification" w:uri="http://schemas.microsoft.com/office/word" w:val="1"/>
  </w:compat>
  <w:rsids>
    <w:rsidRoot w:val="00000000"/>
    <w:rsid w:val="3EDB572F"/>
    <w:rsid w:val="439319F9"/>
    <w:rsid w:val="486B2E27"/>
    <w:rsid w:val="4D3E6BF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0" w:beforeLines="0" w:after="0" w:afterLines="0" w:line="240" w:lineRule="auto"/>
      <w:jc w:val="both"/>
    </w:pPr>
    <w:rPr>
      <w:rFonts w:ascii="Calibri" w:hAnsi="Calibri" w:eastAsia="等线" w:cs="21"/>
      <w:sz w:val="22"/>
      <w:szCs w:val="22"/>
      <w:lang w:val="en-US" w:eastAsia="en-US" w:bidi="ar-SA"/>
    </w:rPr>
  </w:style>
  <w:style w:type="paragraph" w:styleId="2">
    <w:name w:val="heading 1"/>
    <w:basedOn w:val="1"/>
    <w:next w:val="1"/>
    <w:link w:val="20"/>
    <w:qFormat/>
    <w:uiPriority w:val="9"/>
    <w:pPr>
      <w:keepNext/>
      <w:keepLines/>
      <w:spacing w:before="120" w:after="120"/>
      <w:outlineLvl w:val="0"/>
    </w:pPr>
    <w:rPr>
      <w:rFonts w:eastAsia="宋体" w:asciiTheme="majorAscii" w:hAnsiTheme="majorAscii" w:cstheme="majorBidi"/>
      <w:b/>
      <w:bCs/>
      <w:color w:val="000000"/>
      <w:sz w:val="32"/>
      <w:szCs w:val="28"/>
    </w:rPr>
  </w:style>
  <w:style w:type="paragraph" w:styleId="3">
    <w:name w:val="heading 2"/>
    <w:basedOn w:val="1"/>
    <w:next w:val="1"/>
    <w:link w:val="21"/>
    <w:unhideWhenUsed/>
    <w:qFormat/>
    <w:uiPriority w:val="9"/>
    <w:pPr>
      <w:keepNext/>
      <w:keepLines/>
      <w:spacing w:before="80"/>
      <w:outlineLvl w:val="1"/>
    </w:pPr>
    <w:rPr>
      <w:rFonts w:eastAsia="宋体" w:asciiTheme="majorAscii" w:hAnsiTheme="majorAscii" w:cstheme="majorBidi"/>
      <w:b/>
      <w:bCs/>
      <w:color w:val="000000"/>
      <w:sz w:val="28"/>
      <w:szCs w:val="26"/>
    </w:rPr>
  </w:style>
  <w:style w:type="paragraph" w:styleId="4">
    <w:name w:val="heading 3"/>
    <w:basedOn w:val="1"/>
    <w:next w:val="1"/>
    <w:link w:val="22"/>
    <w:unhideWhenUsed/>
    <w:qFormat/>
    <w:uiPriority w:val="9"/>
    <w:pPr>
      <w:keepNext/>
      <w:keepLines/>
      <w:spacing w:before="200"/>
      <w:outlineLvl w:val="2"/>
    </w:pPr>
    <w:rPr>
      <w:rFonts w:asciiTheme="majorHAnsi" w:hAnsiTheme="majorHAnsi" w:eastAsiaTheme="majorEastAsia" w:cstheme="majorBidi"/>
      <w:b/>
      <w:bCs/>
      <w:color w:val="000000"/>
    </w:rPr>
  </w:style>
  <w:style w:type="paragraph" w:styleId="5">
    <w:name w:val="heading 4"/>
    <w:basedOn w:val="1"/>
    <w:next w:val="1"/>
    <w:link w:val="23"/>
    <w:unhideWhenUsed/>
    <w:qFormat/>
    <w:uiPriority w:val="9"/>
    <w:pPr>
      <w:keepNext/>
      <w:keepLines/>
      <w:spacing w:before="200"/>
      <w:outlineLvl w:val="3"/>
    </w:pPr>
    <w:rPr>
      <w:rFonts w:asciiTheme="majorHAnsi" w:hAnsiTheme="majorHAnsi" w:eastAsiaTheme="majorEastAsia" w:cstheme="majorBidi"/>
      <w:b/>
      <w:bCs/>
      <w:i/>
      <w:iCs/>
      <w:color w:val="000000"/>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left="720"/>
    </w:pPr>
  </w:style>
  <w:style w:type="paragraph" w:styleId="7">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8">
    <w:name w:val="header"/>
    <w:basedOn w:val="1"/>
    <w:link w:val="19"/>
    <w:unhideWhenUsed/>
    <w:qFormat/>
    <w:uiPriority w:val="99"/>
    <w:pPr>
      <w:tabs>
        <w:tab w:val="center" w:pos="4680"/>
        <w:tab w:val="right" w:pos="9360"/>
      </w:tabs>
    </w:pPr>
  </w:style>
  <w:style w:type="paragraph" w:styleId="9">
    <w:name w:val="toc 1"/>
    <w:basedOn w:val="1"/>
    <w:next w:val="1"/>
    <w:semiHidden/>
    <w:unhideWhenUsed/>
    <w:uiPriority w:val="39"/>
  </w:style>
  <w:style w:type="paragraph" w:styleId="10">
    <w:name w:val="Subtitle"/>
    <w:basedOn w:val="1"/>
    <w:next w:val="1"/>
    <w:link w:val="24"/>
    <w:qFormat/>
    <w:uiPriority w:val="11"/>
    <w:pPr>
      <w:ind w:left="86"/>
    </w:pPr>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1">
    <w:name w:val="toc 2"/>
    <w:basedOn w:val="1"/>
    <w:next w:val="1"/>
    <w:semiHidden/>
    <w:unhideWhenUsed/>
    <w:uiPriority w:val="39"/>
    <w:pPr>
      <w:ind w:left="420" w:leftChars="200"/>
    </w:pPr>
  </w:style>
  <w:style w:type="paragraph" w:styleId="12">
    <w:name w:val="Title"/>
    <w:basedOn w:val="1"/>
    <w:next w:val="1"/>
    <w:link w:val="25"/>
    <w:qFormat/>
    <w:uiPriority w:val="10"/>
    <w:pPr>
      <w:pBdr>
        <w:bottom w:val="single" w:color="4F81BD" w:themeColor="accent1" w:sz="8" w:space="4"/>
      </w:pBdr>
      <w:spacing w:after="300"/>
      <w:contextualSpacing/>
    </w:pPr>
    <w:rPr>
      <w:rFonts w:asciiTheme="majorHAnsi" w:hAnsiTheme="majorHAnsi" w:eastAsiaTheme="majorEastAsia" w:cstheme="majorBidi"/>
      <w:color w:val="17375E" w:themeColor="text2" w:themeShade="BF"/>
      <w:spacing w:val="5"/>
      <w:kern w:val="28"/>
      <w:sz w:val="52"/>
      <w:szCs w:val="52"/>
    </w:rPr>
  </w:style>
  <w:style w:type="table" w:styleId="14">
    <w:name w:val="Table Grid"/>
    <w:basedOn w:val="13"/>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6">
    <w:name w:val="Strong"/>
    <w:basedOn w:val="15"/>
    <w:qFormat/>
    <w:uiPriority w:val="22"/>
    <w:rPr>
      <w:b/>
      <w:bCs/>
    </w:rPr>
  </w:style>
  <w:style w:type="character" w:styleId="17">
    <w:name w:val="Emphasis"/>
    <w:basedOn w:val="15"/>
    <w:qFormat/>
    <w:uiPriority w:val="20"/>
    <w:rPr>
      <w:i/>
      <w:iCs/>
    </w:rPr>
  </w:style>
  <w:style w:type="character" w:styleId="18">
    <w:name w:val="Hyperlink"/>
    <w:basedOn w:val="15"/>
    <w:unhideWhenUsed/>
    <w:qFormat/>
    <w:uiPriority w:val="99"/>
    <w:rPr>
      <w:color w:val="0000FF" w:themeColor="hyperlink"/>
      <w:u w:val="single"/>
      <w14:textFill>
        <w14:solidFill>
          <w14:schemeClr w14:val="hlink"/>
        </w14:solidFill>
      </w14:textFill>
    </w:rPr>
  </w:style>
  <w:style w:type="character" w:customStyle="1" w:styleId="19">
    <w:name w:val="Header Char"/>
    <w:basedOn w:val="15"/>
    <w:link w:val="8"/>
    <w:qFormat/>
    <w:uiPriority w:val="99"/>
  </w:style>
  <w:style w:type="character" w:customStyle="1" w:styleId="20">
    <w:name w:val="Heading 1 Char"/>
    <w:basedOn w:val="15"/>
    <w:link w:val="2"/>
    <w:qFormat/>
    <w:uiPriority w:val="9"/>
    <w:rPr>
      <w:rFonts w:eastAsia="宋体" w:asciiTheme="majorAscii" w:hAnsiTheme="majorAscii" w:cstheme="majorBidi"/>
      <w:b/>
      <w:bCs/>
      <w:color w:val="376092" w:themeColor="accent1" w:themeShade="BF"/>
      <w:sz w:val="32"/>
      <w:szCs w:val="28"/>
    </w:rPr>
  </w:style>
  <w:style w:type="character" w:customStyle="1" w:styleId="21">
    <w:name w:val="Heading 2 Char"/>
    <w:basedOn w:val="15"/>
    <w:link w:val="3"/>
    <w:qFormat/>
    <w:uiPriority w:val="9"/>
    <w:rPr>
      <w:rFonts w:eastAsia="宋体" w:asciiTheme="majorAscii" w:hAnsiTheme="majorAscii" w:cstheme="majorBidi"/>
      <w:b/>
      <w:bCs/>
      <w:color w:val="4F81BD" w:themeColor="accent1"/>
      <w:sz w:val="28"/>
      <w:szCs w:val="26"/>
      <w14:textFill>
        <w14:solidFill>
          <w14:schemeClr w14:val="accent1"/>
        </w14:solidFill>
      </w14:textFill>
    </w:rPr>
  </w:style>
  <w:style w:type="character" w:customStyle="1" w:styleId="22">
    <w:name w:val="Heading 3 Char"/>
    <w:basedOn w:val="15"/>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23">
    <w:name w:val="Heading 4 Char"/>
    <w:basedOn w:val="15"/>
    <w:link w:val="5"/>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24">
    <w:name w:val="Subtitle Char"/>
    <w:basedOn w:val="15"/>
    <w:link w:val="10"/>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character" w:customStyle="1" w:styleId="25">
    <w:name w:val="Title Char"/>
    <w:basedOn w:val="15"/>
    <w:link w:val="12"/>
    <w:qFormat/>
    <w:uiPriority w:val="10"/>
    <w:rPr>
      <w:rFonts w:asciiTheme="majorHAnsi" w:hAnsiTheme="majorHAnsi" w:eastAsiaTheme="majorEastAsia" w:cstheme="majorBidi"/>
      <w:color w:val="17375E" w:themeColor="text2" w:themeShade="BF"/>
      <w:spacing w:val="5"/>
      <w:kern w:val="28"/>
      <w:sz w:val="52"/>
      <w:szCs w:val="5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38</Pages>
  <Words>30501</Words>
  <Characters>38133</Characters>
  <TotalTime>1</TotalTime>
  <ScaleCrop>false</ScaleCrop>
  <LinksUpToDate>false</LinksUpToDate>
  <CharactersWithSpaces>38672</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2025-11-29T02:50:00Z</dcterms:created>
  <dc:creator>落叶</dc:creator>
  <cp:lastModifiedBy>落叶</cp:lastModifiedBy>
  <dcterms:modified xsi:type="dcterms:W3CDTF">2025-11-29T04:37:01Z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1","ContentProducer":"001191110000802100433B10001","ProduceID":"521bdabc-cccd-11f0-9757-fa27000c7cbe_1764384267_4b85ecf410aeb9696d4649a9ac7f90bc","ReservedCode1":"df1ca5c759814ee70622fc09a85877135fc6e0e72fae93e3baef1e126de065bc","ContentPropagator":"001191110000802100433B10001","PropagateID":"521bdabc-cccd-11f0-9757-fa27000c7cbe_1764384267_4b85ecf410aeb9696d4649a9ac7f90bc","ReservedCode2":"df1ca5c759814ee70622fc09a85877135fc6e0e72fae93e3baef1e126de065bc"}</vt:lpwstr>
  </property>
  <property fmtid="{D5CDD505-2E9C-101B-9397-08002B2CF9AE}" pid="3" name="KSOTemplateDocerSaveRecord">
    <vt:lpwstr>eyJoZGlkIjoiZDJkYjczOTEzOTkxOTJiNDUzNWM0YmMxMWNjY2ZlZjEiLCJ1c2VySWQiOiIzNjg4Nzk3NTkifQ==</vt:lpwstr>
  </property>
  <property fmtid="{D5CDD505-2E9C-101B-9397-08002B2CF9AE}" pid="4" name="KSOProductBuildVer">
    <vt:lpwstr>2052-12.1.0.23542</vt:lpwstr>
  </property>
  <property fmtid="{D5CDD505-2E9C-101B-9397-08002B2CF9AE}" pid="5" name="ICV">
    <vt:lpwstr>E4D222E1CBAB42BDAF6C89DEC0D72D0D_13</vt:lpwstr>
  </property>
</Properties>
</file>