
<file path=[Content_Types].xml><?xml version="1.0" encoding="utf-8"?>
<Types xmlns="http://schemas.openxmlformats.org/package/2006/content-types">
  <Default Extension="xlsx" ContentType="application/vnd.openxmlformats-officedocument.spreadsheetml.sheet"/>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03B480">
      <w:pPr>
        <w:rPr>
          <w:sz w:val="56"/>
        </w:rPr>
      </w:pPr>
      <w:r>
        <w:rPr>
          <w:sz w:val="56"/>
        </w:rPr>
        <w:drawing>
          <wp:inline distT="0" distB="0" distL="114300" distR="114300">
            <wp:extent cx="3076575" cy="723900"/>
            <wp:effectExtent l="0" t="0" r="9525" b="0"/>
            <wp:docPr id="5" name="图片 5" descr="C:/Users/吉林水利电力职业学院/Desktop/logo.pn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吉林水利电力职业学院/Desktop/logo.pnglogo"/>
                    <pic:cNvPicPr>
                      <a:picLocks noChangeAspect="1"/>
                    </pic:cNvPicPr>
                  </pic:nvPicPr>
                  <pic:blipFill>
                    <a:blip r:embed="rId6"/>
                    <a:srcRect t="9370" b="9370"/>
                    <a:stretch>
                      <a:fillRect/>
                    </a:stretch>
                  </pic:blipFill>
                  <pic:spPr>
                    <a:xfrm>
                      <a:off x="0" y="0"/>
                      <a:ext cx="3076575" cy="723900"/>
                    </a:xfrm>
                    <a:prstGeom prst="rect">
                      <a:avLst/>
                    </a:prstGeom>
                    <a:noFill/>
                    <a:ln>
                      <a:noFill/>
                    </a:ln>
                  </pic:spPr>
                </pic:pic>
              </a:graphicData>
            </a:graphic>
          </wp:inline>
        </w:drawing>
      </w:r>
    </w:p>
    <w:p w14:paraId="57303737">
      <w:pPr>
        <w:jc w:val="center"/>
        <w:rPr>
          <w:sz w:val="56"/>
        </w:rPr>
      </w:pPr>
    </w:p>
    <w:p w14:paraId="6FC312F7">
      <w:pPr>
        <w:jc w:val="center"/>
        <w:rPr>
          <w:sz w:val="56"/>
        </w:rPr>
      </w:pPr>
    </w:p>
    <w:p w14:paraId="29BB93B4">
      <w:pPr>
        <w:jc w:val="center"/>
        <w:rPr>
          <w:sz w:val="56"/>
        </w:rPr>
      </w:pPr>
    </w:p>
    <w:p w14:paraId="2424D9CB">
      <w:pPr>
        <w:jc w:val="center"/>
        <w:rPr>
          <w:rFonts w:hint="eastAsia" w:ascii="黑体" w:hAnsi="黑体" w:eastAsia="黑体"/>
          <w:sz w:val="52"/>
          <w:szCs w:val="72"/>
        </w:rPr>
      </w:pPr>
      <w:r>
        <w:rPr>
          <w:rFonts w:hint="eastAsia" w:ascii="黑体" w:hAnsi="黑体" w:eastAsia="黑体"/>
          <w:sz w:val="52"/>
          <w:szCs w:val="72"/>
          <w:lang w:val="en-US" w:eastAsia="zh-CN"/>
        </w:rPr>
        <w:t>2023级</w:t>
      </w:r>
      <w:r>
        <w:rPr>
          <w:rFonts w:hint="eastAsia" w:ascii="黑体" w:hAnsi="黑体" w:eastAsia="黑体"/>
          <w:sz w:val="52"/>
          <w:szCs w:val="72"/>
        </w:rPr>
        <w:t>数字媒体技术专业</w:t>
      </w:r>
    </w:p>
    <w:p w14:paraId="4D5F4A1B">
      <w:pPr>
        <w:jc w:val="center"/>
        <w:rPr>
          <w:rFonts w:hint="eastAsia" w:ascii="黑体" w:hAnsi="黑体" w:eastAsia="黑体"/>
          <w:sz w:val="52"/>
          <w:szCs w:val="72"/>
        </w:rPr>
      </w:pPr>
      <w:r>
        <w:rPr>
          <w:rFonts w:hint="eastAsia" w:ascii="黑体" w:hAnsi="黑体" w:eastAsia="黑体"/>
          <w:sz w:val="52"/>
          <w:szCs w:val="72"/>
        </w:rPr>
        <w:t>人才培养方案修订</w:t>
      </w:r>
    </w:p>
    <w:p w14:paraId="5BAAD8E1">
      <w:pPr>
        <w:jc w:val="center"/>
        <w:rPr>
          <w:rFonts w:hint="eastAsia" w:ascii="黑体" w:hAnsi="黑体" w:eastAsia="黑体"/>
          <w:sz w:val="52"/>
          <w:szCs w:val="72"/>
        </w:rPr>
      </w:pPr>
      <w:r>
        <w:rPr>
          <w:rFonts w:hint="eastAsia" w:ascii="黑体" w:hAnsi="黑体" w:eastAsia="黑体"/>
          <w:sz w:val="52"/>
          <w:szCs w:val="72"/>
        </w:rPr>
        <w:t>调研报告</w:t>
      </w:r>
    </w:p>
    <w:p w14:paraId="444F1F3B">
      <w:pPr>
        <w:rPr>
          <w:sz w:val="48"/>
        </w:rPr>
      </w:pPr>
      <w:r>
        <w:rPr>
          <w:sz w:val="48"/>
        </w:rPr>
        <w:t xml:space="preserve"> </w:t>
      </w:r>
    </w:p>
    <w:p w14:paraId="2A6DFF10">
      <w:pPr>
        <w:rPr>
          <w:sz w:val="48"/>
        </w:rPr>
      </w:pPr>
      <w:r>
        <w:rPr>
          <w:sz w:val="48"/>
        </w:rPr>
        <w:t xml:space="preserve"> </w:t>
      </w:r>
    </w:p>
    <w:p w14:paraId="58DEE07A">
      <w:pPr>
        <w:rPr>
          <w:rFonts w:ascii="宋体"/>
          <w:b/>
          <w:sz w:val="30"/>
          <w:szCs w:val="30"/>
          <w:u w:val="single"/>
        </w:rPr>
      </w:pPr>
      <w:r>
        <w:rPr>
          <w:sz w:val="48"/>
        </w:rPr>
        <w:t xml:space="preserve"> </w:t>
      </w:r>
    </w:p>
    <w:p w14:paraId="79569616">
      <w:pPr>
        <w:ind w:firstLine="1951" w:firstLineChars="650"/>
        <w:rPr>
          <w:rFonts w:ascii="宋体"/>
          <w:b/>
          <w:sz w:val="30"/>
          <w:szCs w:val="30"/>
          <w:u w:val="single"/>
        </w:rPr>
      </w:pPr>
    </w:p>
    <w:p w14:paraId="09C8CE2B">
      <w:pPr>
        <w:ind w:firstLine="1951" w:firstLineChars="650"/>
        <w:rPr>
          <w:rFonts w:ascii="宋体"/>
          <w:b/>
          <w:sz w:val="30"/>
          <w:szCs w:val="30"/>
          <w:u w:val="single"/>
        </w:rPr>
      </w:pPr>
    </w:p>
    <w:p w14:paraId="779A0AFB">
      <w:pPr>
        <w:ind w:firstLine="1951" w:firstLineChars="650"/>
        <w:rPr>
          <w:rFonts w:ascii="宋体"/>
          <w:b/>
          <w:sz w:val="30"/>
          <w:szCs w:val="30"/>
          <w:u w:val="single"/>
        </w:rPr>
      </w:pPr>
    </w:p>
    <w:p w14:paraId="6BA42456">
      <w:pPr>
        <w:ind w:firstLine="1951" w:firstLineChars="650"/>
        <w:rPr>
          <w:rFonts w:ascii="宋体"/>
          <w:b/>
          <w:sz w:val="30"/>
          <w:szCs w:val="30"/>
          <w:u w:val="single"/>
        </w:rPr>
      </w:pPr>
    </w:p>
    <w:p w14:paraId="0F094608">
      <w:pPr>
        <w:jc w:val="center"/>
        <w:rPr>
          <w:rFonts w:ascii="宋体"/>
          <w:b/>
          <w:sz w:val="30"/>
          <w:szCs w:val="30"/>
        </w:rPr>
      </w:pPr>
      <w:r>
        <w:rPr>
          <w:rFonts w:hint="eastAsia" w:ascii="宋体"/>
          <w:b/>
          <w:sz w:val="30"/>
          <w:szCs w:val="30"/>
        </w:rPr>
        <w:t>智能工程学院</w:t>
      </w:r>
    </w:p>
    <w:p w14:paraId="4E774BBB">
      <w:pPr>
        <w:spacing w:before="0" w:beforeLines="0" w:after="0" w:afterLines="0" w:line="240" w:lineRule="auto"/>
        <w:ind w:left="0" w:leftChars="0" w:right="0" w:rightChars="0" w:firstLine="0" w:firstLineChars="0"/>
        <w:jc w:val="center"/>
        <w:rPr>
          <w:rFonts w:hint="eastAsia" w:ascii="宋体"/>
          <w:b/>
          <w:sz w:val="30"/>
          <w:szCs w:val="30"/>
        </w:rPr>
      </w:pPr>
      <w:r>
        <w:rPr>
          <w:rFonts w:ascii="宋体"/>
          <w:b/>
          <w:sz w:val="30"/>
          <w:szCs w:val="30"/>
        </w:rPr>
        <w:t>202</w:t>
      </w:r>
      <w:r>
        <w:rPr>
          <w:rFonts w:hint="eastAsia" w:ascii="宋体"/>
          <w:b/>
          <w:sz w:val="30"/>
          <w:szCs w:val="30"/>
          <w:lang w:val="en-US" w:eastAsia="zh-CN"/>
        </w:rPr>
        <w:t>3</w:t>
      </w:r>
      <w:r>
        <w:rPr>
          <w:rFonts w:hint="eastAsia" w:ascii="宋体"/>
          <w:b/>
          <w:sz w:val="30"/>
          <w:szCs w:val="30"/>
        </w:rPr>
        <w:t>年5月</w:t>
      </w:r>
    </w:p>
    <w:sdt>
      <w:sdtPr>
        <w:rPr>
          <w:rFonts w:ascii="宋体" w:hAnsi="宋体" w:eastAsia="宋体" w:cs="21"/>
          <w:sz w:val="21"/>
          <w:szCs w:val="22"/>
          <w:lang w:val="en-US" w:eastAsia="en-US" w:bidi="ar-SA"/>
        </w:rPr>
        <w:id w:val="147460253"/>
        <w15:color w:val="DBDBDB"/>
        <w:docPartObj>
          <w:docPartGallery w:val="Table of Contents"/>
          <w:docPartUnique/>
        </w:docPartObj>
      </w:sdtPr>
      <w:sdtContent>
        <w:p w14:paraId="66F46710">
          <w:pPr>
            <w:spacing w:before="0" w:beforeLines="0" w:after="0" w:afterLines="0" w:line="240" w:lineRule="auto"/>
            <w:ind w:left="0" w:leftChars="0" w:right="0" w:rightChars="0" w:firstLine="0" w:firstLineChars="0"/>
            <w:jc w:val="center"/>
            <w:rPr>
              <w:rFonts w:hint="eastAsia" w:asciiTheme="majorEastAsia" w:hAnsiTheme="majorEastAsia" w:eastAsiaTheme="majorEastAsia" w:cstheme="majorEastAsia"/>
              <w:sz w:val="30"/>
              <w:szCs w:val="30"/>
            </w:rPr>
            <w:sectPr>
              <w:pgSz w:w="11906" w:h="16838"/>
              <w:pgMar w:top="1440" w:right="1800" w:bottom="1440" w:left="1800" w:header="851" w:footer="992" w:gutter="0"/>
              <w:cols w:space="720" w:num="1"/>
              <w:docGrid w:type="lines" w:linePitch="312" w:charSpace="0"/>
            </w:sectPr>
          </w:pPr>
        </w:p>
        <w:p w14:paraId="3F451B1D">
          <w:pPr>
            <w:spacing w:before="0" w:beforeLines="0" w:after="0" w:afterLines="0" w:line="240" w:lineRule="auto"/>
            <w:ind w:left="0" w:leftChars="0" w:right="0" w:rightChars="0" w:firstLine="0" w:firstLineChars="0"/>
            <w:jc w:val="center"/>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目录</w:t>
          </w:r>
        </w:p>
        <w:p w14:paraId="090D7550">
          <w:pPr>
            <w:pStyle w:val="9"/>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TOC \o "1-2" \h \u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_Toc19123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一、 调研目的与意义阐述</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_Toc19123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1</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612BBC1D">
          <w:pPr>
            <w:pStyle w:val="11"/>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_Toc7708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（一） 行业发展现状及趋势分析的必要性</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_Toc7708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1</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45E479CF">
          <w:pPr>
            <w:pStyle w:val="11"/>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_Toc19327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（二） 专业群建设现状评估与服务产业能力分析</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_Toc19327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2</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661AA0F1">
          <w:pPr>
            <w:pStyle w:val="11"/>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_Toc28908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（三） 本次调研的核心目标与预期价值</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_Toc28908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3</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451F0A4C">
          <w:pPr>
            <w:pStyle w:val="9"/>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_Toc19094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bCs/>
              <w:sz w:val="30"/>
              <w:szCs w:val="30"/>
              <w:lang w:val="en-US" w:eastAsia="zh-CN" w:bidi="ar-SA"/>
            </w:rPr>
            <w:t>二</w:t>
          </w:r>
          <w:r>
            <w:rPr>
              <w:rFonts w:hint="eastAsia" w:asciiTheme="majorEastAsia" w:hAnsiTheme="majorEastAsia" w:eastAsiaTheme="majorEastAsia" w:cstheme="majorEastAsia"/>
              <w:bCs/>
              <w:sz w:val="30"/>
              <w:szCs w:val="30"/>
              <w:lang w:val="en-US" w:eastAsia="en-US" w:bidi="ar-SA"/>
            </w:rPr>
            <w:t>、</w:t>
          </w:r>
          <w:r>
            <w:rPr>
              <w:rFonts w:hint="eastAsia" w:asciiTheme="majorEastAsia" w:hAnsiTheme="majorEastAsia" w:eastAsiaTheme="majorEastAsia" w:cstheme="majorEastAsia"/>
              <w:sz w:val="30"/>
              <w:szCs w:val="30"/>
            </w:rPr>
            <w:t>调研设计与方法体系</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_Toc19094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4</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568C0E57">
          <w:pPr>
            <w:pStyle w:val="11"/>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_Toc10164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（一） 调研方法的科学性与适用性论证</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_Toc10164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4</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273D5FFE">
          <w:pPr>
            <w:pStyle w:val="11"/>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_Toc14903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（二） 行业发展现状与趋势分析</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_Toc14903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9</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7A15B228">
          <w:pPr>
            <w:pStyle w:val="11"/>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_Toc3211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（三） 职业岗位群与岗位能力分析</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_Toc3211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13</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10A0511E">
          <w:pPr>
            <w:pStyle w:val="11"/>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_Toc8612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（四） 知识技能与职业素养要求</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_Toc8612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17</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00DD3D05">
          <w:pPr>
            <w:pStyle w:val="11"/>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_Toc269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（五） 职业培训与课程设置分析</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_Toc269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23</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60B26FD5">
          <w:pPr>
            <w:pStyle w:val="9"/>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_Toc32231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bCs/>
              <w:sz w:val="30"/>
              <w:szCs w:val="30"/>
              <w:lang w:val="en-US" w:eastAsia="zh-CN" w:bidi="ar-SA"/>
            </w:rPr>
            <w:t>三</w:t>
          </w:r>
          <w:r>
            <w:rPr>
              <w:rFonts w:hint="eastAsia" w:asciiTheme="majorEastAsia" w:hAnsiTheme="majorEastAsia" w:eastAsiaTheme="majorEastAsia" w:cstheme="majorEastAsia"/>
              <w:bCs/>
              <w:sz w:val="30"/>
              <w:szCs w:val="30"/>
              <w:lang w:val="en-US" w:eastAsia="en-US" w:bidi="ar-SA"/>
            </w:rPr>
            <w:t>、</w:t>
          </w:r>
          <w:r>
            <w:rPr>
              <w:rFonts w:hint="eastAsia" w:asciiTheme="majorEastAsia" w:hAnsiTheme="majorEastAsia" w:eastAsiaTheme="majorEastAsia" w:cstheme="majorEastAsia"/>
              <w:sz w:val="30"/>
              <w:szCs w:val="30"/>
            </w:rPr>
            <w:t>人才培养方案优化建议</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_Toc32231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26</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222BF4C0">
          <w:pPr>
            <w:pStyle w:val="11"/>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_Toc4237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（一） 人才培养目标与规格的调整方向</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_Toc4237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26</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00FBA868">
          <w:pPr>
            <w:pStyle w:val="11"/>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_Toc28077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（二） 课程体系重构与教学内容更新</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_Toc28077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27</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5EFADAF3">
          <w:pPr>
            <w:pStyle w:val="11"/>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_Toc17669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（三） 实践教学体系与产教融合机制</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_Toc17669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28</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391E69BB">
          <w:pPr>
            <w:pStyle w:val="9"/>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_Toc10501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bCs/>
              <w:sz w:val="30"/>
              <w:szCs w:val="30"/>
              <w:lang w:val="en-US" w:eastAsia="en-US" w:bidi="ar-SA"/>
            </w:rPr>
            <w:t>一、</w:t>
          </w:r>
          <w:r>
            <w:rPr>
              <w:rFonts w:hint="eastAsia" w:asciiTheme="majorEastAsia" w:hAnsiTheme="majorEastAsia" w:eastAsiaTheme="majorEastAsia" w:cstheme="majorEastAsia"/>
              <w:sz w:val="30"/>
              <w:szCs w:val="30"/>
            </w:rPr>
            <w:t>结论与实施建议</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_Toc10501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29</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339B4D71">
          <w:pPr>
            <w:pStyle w:val="11"/>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_Toc23644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（一） 调研主要发现与核心结论</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_Toc23644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29</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4478E9D4">
          <w:pPr>
            <w:pStyle w:val="11"/>
            <w:tabs>
              <w:tab w:val="right" w:leader="dot" w:pos="8306"/>
            </w:tabs>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HYPERLINK \l _Toc3076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（二） 专业建设与人才培养改进建议</w:t>
          </w:r>
          <w:r>
            <w:rPr>
              <w:rFonts w:hint="eastAsia" w:asciiTheme="majorEastAsia" w:hAnsiTheme="majorEastAsia" w:eastAsiaTheme="majorEastAsia" w:cstheme="majorEastAsia"/>
              <w:sz w:val="30"/>
              <w:szCs w:val="30"/>
            </w:rPr>
            <w:tab/>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PAGEREF _Toc3076 \h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33</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fldChar w:fldCharType="end"/>
          </w:r>
        </w:p>
        <w:p w14:paraId="4C08898A">
          <w:pPr>
            <w:sectPr>
              <w:pgSz w:w="11906" w:h="16838"/>
              <w:pgMar w:top="1440" w:right="1800" w:bottom="1440" w:left="1800" w:header="851" w:footer="992" w:gutter="0"/>
              <w:cols w:space="720" w:num="1"/>
              <w:docGrid w:type="lines" w:linePitch="312" w:charSpace="0"/>
            </w:sectPr>
          </w:pPr>
          <w:r>
            <w:rPr>
              <w:rFonts w:hint="eastAsia" w:asciiTheme="majorEastAsia" w:hAnsiTheme="majorEastAsia" w:eastAsiaTheme="majorEastAsia" w:cstheme="majorEastAsia"/>
              <w:sz w:val="30"/>
              <w:szCs w:val="30"/>
            </w:rPr>
            <w:fldChar w:fldCharType="end"/>
          </w:r>
          <w:bookmarkStart w:id="17" w:name="_GoBack"/>
          <w:bookmarkEnd w:id="17"/>
        </w:p>
      </w:sdtContent>
    </w:sdt>
    <w:p w14:paraId="7EBD0A0F"/>
    <w:p w14:paraId="3E0558EA">
      <w:pPr>
        <w:pStyle w:val="2"/>
        <w:numPr>
          <w:ilvl w:val="0"/>
          <w:numId w:val="1"/>
        </w:numPr>
        <w:bidi w:val="0"/>
        <w:ind w:left="-420" w:leftChars="0" w:firstLine="420" w:firstLineChars="0"/>
      </w:pPr>
      <w:bookmarkStart w:id="0" w:name="_Toc19123"/>
      <w:r>
        <w:rPr>
          <w:rFonts w:hint="eastAsia"/>
        </w:rPr>
        <w:t>调研目的与意义阐述</w:t>
      </w:r>
      <w:bookmarkEnd w:id="0"/>
    </w:p>
    <w:p w14:paraId="0F259614">
      <w:pPr>
        <w:pStyle w:val="3"/>
        <w:numPr>
          <w:ilvl w:val="0"/>
          <w:numId w:val="2"/>
        </w:numPr>
        <w:bidi w:val="0"/>
        <w:ind w:left="-420" w:leftChars="0" w:firstLine="420" w:firstLineChars="0"/>
      </w:pPr>
      <w:bookmarkStart w:id="1" w:name="_Toc7708"/>
      <w:r>
        <w:rPr>
          <w:rFonts w:hint="eastAsia"/>
        </w:rPr>
        <w:t>行业发展现状及趋势分析的必要性</w:t>
      </w:r>
      <w:bookmarkEnd w:id="1"/>
    </w:p>
    <w:p w14:paraId="221926FB">
      <w:pPr>
        <w:pStyle w:val="6"/>
        <w:pageBreakBefore w:val="0"/>
        <w:widowControl/>
        <w:kinsoku/>
        <w:wordWrap/>
        <w:overflowPunct/>
        <w:topLinePunct w:val="0"/>
        <w:autoSpaceDE/>
        <w:autoSpaceDN/>
        <w:bidi w:val="0"/>
        <w:adjustRightInd/>
        <w:snapToGrid/>
        <w:spacing w:line="440" w:lineRule="exact"/>
        <w:ind w:lef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行业作为信息技术与文化艺术深度融合的产物，已成为推动数字经济发展的重要引擎。随着移动互联网技术的飞速发展，数字媒体已渗透到社会生活的各个领域，从影视制作、游戏开发到虚拟现实、增强现实等新兴应用，行业边界不断拓展，市场规模持续扩大。在这一背景下，对数字媒体行业现状及发展趋势进行系统分析显得尤为必要。</w:t>
      </w:r>
    </w:p>
    <w:p w14:paraId="1F21804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当前，数字媒体行业正经历着深刻变革。人工智能技术的赋能正在重塑内容创作流程，例如邓先春与孙继荣（</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在研究中指出，人工智能技术正在推动"数字媒体综合实训"课程的教学改革，这反映了技术迭代对行业人才能力要求的变化。同时，数字文化产业被提升到国家战略高度，范欣（2021）基于民艺数字化的研究发现，国家正在推动"数字中国"建设，文化和旅游部也出台了《关于推动数字文化产业高质量发展的意见》，这些政策导向为行业发展指明了方向。</w:t>
      </w:r>
    </w:p>
    <w:p w14:paraId="023F35A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行业发展现状分析的必要性主要体现在三个方面：首先，技术融合加速推动产业升级，云计算、大数据、人工智能等新技术与数字媒体深度融合，催生了新的业态和模式；其次，消费升级带动需求多元化，用户对数字内容的质量和体验要求不断提高，推动行业向精细化、个性化方向发展；最后，产业边界模糊化带来新的机遇，数字媒体与教育、医疗、制造等传统行业的交叉融合创造了新的市场空间。</w:t>
      </w:r>
    </w:p>
    <w:p w14:paraId="73C1429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从发展趋势来看，数字媒体行业呈现出以下特点：一是技术驱动效应更加明显，实时渲染、虚拟制作等技术正在改变传统内容生产方式；二是产业生态更加开放，平台化、协同化成为主流发展模式；三是人才需求更加复合，既懂技术又懂艺术的跨界人才成为行业争夺的焦点。这些发展趋势对职业教育提出了新的要求，只有准确把握行业动态，才能培养出符合未来市场需求的高素质技术技能人才。</w:t>
      </w:r>
    </w:p>
    <w:p w14:paraId="39764DAF">
      <w:pPr>
        <w:pStyle w:val="3"/>
        <w:numPr>
          <w:ilvl w:val="0"/>
          <w:numId w:val="2"/>
        </w:numPr>
        <w:bidi w:val="0"/>
        <w:ind w:left="-420" w:leftChars="0" w:firstLine="420" w:firstLineChars="0"/>
        <w:rPr>
          <w:rFonts w:hint="eastAsia"/>
        </w:rPr>
      </w:pPr>
      <w:bookmarkStart w:id="2" w:name="_Toc19327"/>
      <w:r>
        <w:rPr>
          <w:rFonts w:hint="eastAsia"/>
        </w:rPr>
        <w:t>专业群建设现状评估与服务产业能力分析</w:t>
      </w:r>
      <w:bookmarkEnd w:id="2"/>
    </w:p>
    <w:p w14:paraId="65F94B0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专业群建设是高职教育适应产业发展需求的重要举措。徐超（2023）在研究中强调，"双高"建设意在提升职业教育的高质量教学水平，而数字媒体艺术作为工科与艺术的结晶，其"专业群"建设更为复杂。这表明专业群建设不仅关系到院校的教学质量，更直接影响人才培养与产业需求的匹配度。</w:t>
      </w:r>
    </w:p>
    <w:p w14:paraId="06D094F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当前数字媒体专业群建设呈现出多样化发展态势。从组成结构看，各院校根据自身特色和区域产业需求，形成了不同的专业群构建模式。例如广西职业技术学院传媒专业群以数字媒体艺术设计专业为核心，整合广告艺术设计、新闻采编与制作等相关专业，形成了"核心专业领头，相关专业协同"的办学模式。这种专业群建设方式体现了产业群与专业群协同发展的思路。</w:t>
      </w:r>
    </w:p>
    <w:p w14:paraId="059740F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然而，专业群建设仍面临诸多挑战。孙静（2022）在文创产业视域下的研究发现，数字媒体艺术专业群建设需要服务于文创产业发展目标，并将该目标融入人才培养模式、课程体系、教学资源等方面。这说明专业群建设不仅要注重形式上的组合，更要实现内涵上的融合。张耀（2020）进一步指出，在产教融合背景下，数字媒体艺术专业群建设需要深入探索校企合作机制，实现人才培养与产业需求的无缝对接。</w:t>
      </w:r>
    </w:p>
    <w:p w14:paraId="4113AA1A">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服务产业能力方面，现有专业群建设存在明显差异。一些院校通过"工作坊模式"提升实践教学效果，如孙铭（2019）提出的以市场实际项目为依托的人才培养模式，有效提高了学生的实践能力和就业竞争力。而另一些院校则通过实训基地建设强化产教融合，如徐守祥（2010）探索的基于逻辑产品线的软件实训工厂架构，实现了高职人才与职业需求的紧密对接。</w:t>
      </w:r>
    </w:p>
    <w:p w14:paraId="165825F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专业群服务产业能力的评估需要从多个维度进行：一是课程体系与岗位需求的匹配度，郭永洪（2012）以软件技术与数字媒体设计专业群为例，强调了专业群课程体系建设的重要性；二是师资队伍的双师素质，既要有扎实的理论基础，又要有丰富的实践经验；三是实训条件的先进性，要能够模拟真实的工作环境；四是校企合作的深度，要建立长效合作机制。只有全面评估这些要素，才能准确判断专业群服务产业的能力水平。</w:t>
      </w:r>
    </w:p>
    <w:p w14:paraId="17897A0D">
      <w:pPr>
        <w:pStyle w:val="3"/>
        <w:numPr>
          <w:ilvl w:val="0"/>
          <w:numId w:val="2"/>
        </w:numPr>
        <w:bidi w:val="0"/>
        <w:ind w:left="-420" w:leftChars="0" w:firstLine="420" w:firstLineChars="0"/>
        <w:rPr>
          <w:rFonts w:hint="eastAsia"/>
        </w:rPr>
      </w:pPr>
      <w:bookmarkStart w:id="3" w:name="_Toc28908"/>
      <w:r>
        <w:rPr>
          <w:rFonts w:hint="eastAsia"/>
        </w:rPr>
        <w:t>本次调研的核心目标与预期价值</w:t>
      </w:r>
      <w:bookmarkEnd w:id="3"/>
    </w:p>
    <w:p w14:paraId="3A4AF9B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基于数字媒体行业发展需求和专业群建设现状，本次调研设定了明确的核心目标。首先，通过对13个细分领域职业岗位的深入分析，构建完整的数字媒体行业人才需求图谱，具体包括交互界面设计技术、商业摄影与蓝绿屏拍摄技术、数字三维场景设计、MG动画制作技术、音视频处理技术、影视剪辑实训、影视特效制作与合成、数字三维角色设计、光影与质感表现技术、三维动画制作技术、三维影视广告制作、三维资产制作实训、720全景拍摄与缝合技术等领域。这一目标旨在准确把握各细分领域的技术要求、能力标准和岗位规范，为人才培养提供精准导向。</w:t>
      </w:r>
    </w:p>
    <w:p w14:paraId="760A6358">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次，调研致力于评估现有专业群建设成效，发现存在的问题和不足。通过分析专业群结构与产业结构的契合度、课程内容与岗位要求的对应关系、实践教学与工作过程的匹配程度，为专业群优化提供实证依据。这一目标呼应了孙静（2022）提出的专业群建设应服务于产业发展的重要观点，强调调研的诊断和改进功能。</w:t>
      </w:r>
    </w:p>
    <w:p w14:paraId="5F274D1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调研旨在探索产教深度融合的有效路径。借鉴张耀（2020）提出的产教融合背景下专业群建设思路，调研将重点分析校企合作模式、实训基地建设、双师型队伍培养等关键环节，寻求提升人才培养质量的新方法、新机制。这一目标体现了调研的创新性和前瞻性。</w:t>
      </w:r>
    </w:p>
    <w:p w14:paraId="4F9CA5BF">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调研的预期价值主要体现在四个方面：一是为职业院校数字媒体专业群建设提供决策参考，通过翔实的行业数据和分析结论，指导专业设置、课程开发和教学改革；二是为教育主管部门制定相关政策提供依据，推动职业教育与产业发展的良性互动；三是为企业参与人才培养提供清晰指引，促进校企合作的深入开展；四是为学生职业规划提供指导，帮助学生明确学习方向和发展路径。</w:t>
      </w:r>
    </w:p>
    <w:p w14:paraId="46B2AA6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从更宏观的层面看，本次调研还具有重要的社会价值。通过推动数字媒体领域人才培养质量的提升，将为文化产业繁荣和数字经济发展提供人才支撑，服务于国家创新驱动发展战略。同时，调研成果的推广和应用，将有助于形成职业教育与产业协同发展的良好生态，为其他专业领域的建设提供可借鉴的经验。范欣（2021）提出的"逐美·寻艺"人才培养模式启示我们，调研不仅要关注技术技能的培养，还要注重文化传承和创新精神的培育，这才是职业教育的深层价值所在。</w:t>
      </w:r>
    </w:p>
    <w:p w14:paraId="1E69B59A">
      <w:pPr>
        <w:pStyle w:val="2"/>
        <w:numPr>
          <w:ilvl w:val="0"/>
          <w:numId w:val="0"/>
        </w:numPr>
        <w:bidi w:val="0"/>
        <w:ind w:left="-420" w:leftChars="0" w:firstLine="420" w:firstLineChars="0"/>
        <w:rPr>
          <w:rFonts w:hint="eastAsia"/>
        </w:rPr>
      </w:pPr>
      <w:bookmarkStart w:id="4" w:name="_Toc19094"/>
      <w:r>
        <w:rPr>
          <w:rFonts w:hint="eastAsia" w:cstheme="majorBidi"/>
          <w:b/>
          <w:bCs/>
          <w:color w:val="000000"/>
          <w:sz w:val="32"/>
          <w:szCs w:val="28"/>
          <w:lang w:val="en-US" w:eastAsia="zh-CN" w:bidi="ar-SA"/>
        </w:rPr>
        <w:t>二</w:t>
      </w:r>
      <w:r>
        <w:rPr>
          <w:rFonts w:hint="eastAsia" w:eastAsia="宋体" w:asciiTheme="majorAscii" w:hAnsiTheme="majorAscii" w:cstheme="majorBidi"/>
          <w:b/>
          <w:bCs/>
          <w:color w:val="000000"/>
          <w:sz w:val="32"/>
          <w:szCs w:val="28"/>
          <w:lang w:val="en-US" w:eastAsia="en-US" w:bidi="ar-SA"/>
        </w:rPr>
        <w:t>、</w:t>
      </w:r>
      <w:r>
        <w:rPr>
          <w:rFonts w:hint="eastAsia"/>
        </w:rPr>
        <w:t>调研设计与方法体系</w:t>
      </w:r>
      <w:bookmarkEnd w:id="4"/>
    </w:p>
    <w:p w14:paraId="2E7139B9">
      <w:pPr>
        <w:pStyle w:val="3"/>
        <w:numPr>
          <w:ilvl w:val="0"/>
          <w:numId w:val="3"/>
        </w:numPr>
        <w:bidi w:val="0"/>
        <w:ind w:left="-420" w:leftChars="0" w:firstLine="420" w:firstLineChars="0"/>
        <w:rPr>
          <w:rFonts w:hint="eastAsia"/>
        </w:rPr>
      </w:pPr>
      <w:bookmarkStart w:id="5" w:name="_Toc10164"/>
      <w:r>
        <w:rPr>
          <w:rFonts w:hint="eastAsia"/>
        </w:rPr>
        <w:t>调研方法的科学性与适用性论证</w:t>
      </w:r>
      <w:bookmarkEnd w:id="5"/>
    </w:p>
    <w:p w14:paraId="1AF3CD8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专业调研方法的选择直接关系到调研结果的可靠性和有效性。为确保调研过程的科学性，本研究综合采用了实证研究法、案例分析法、产业分析策略研究法、形态特征分析法、文献计量分析法、技术改良实验法及翻译理论实践法等多种研究方法，每种方法均针对数字媒体领域特定研究方向的特点进行适配性优化。</w:t>
      </w:r>
    </w:p>
    <w:p w14:paraId="51FF362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证研究法通过案例验证和数据直观分析，特别适用于新媒体情感传递等需要量化支撑的研究领域（李江雪，2021）。该方法通过建立可量化的评价指标体系，能够有效避免主观判断的偏差，但需要注意样本选择的代表性问题。在数字媒体专业的13个细分领域调研中，该方法特别适用于交互界面设计技术、MG动画制作技术等需要用户反馈验证的领域。</w:t>
      </w:r>
    </w:p>
    <w:p w14:paraId="6318CAC5">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案例分析法通过深入剖析典型实践案例，能够为数字媒体产业发展提供可参考的实施路径（袁琪，2023）。在调研乡村数字化发展和主播经济等现象时，该方法能够实现实践路径的可视化呈现，但其局限性在于个案的特殊性可能影响结论的普适性。对于720全景拍摄与缝合技术等新兴领域，案例分析可以快速积累实践经验。</w:t>
      </w:r>
    </w:p>
    <w:p w14:paraId="3E11A3F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业分析策略研究法从宏观层面把握数字媒体产业的发展趋势，适用于动漫产业链等需要整体性视角的研究主题（李鸿明，2011）。该方法能够有效识别产业发展的关键影响因素，但对政策环境等外部因素较为敏感。在三维影视广告制作等商业化程度较高的领域，该方法具有重要指导意义。</w:t>
      </w:r>
    </w:p>
    <w:p w14:paraId="26DD3E3A">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形态特征分析法通过多平台比较研究，特别适合分析数字美术评论等快速演变的领域（范月，</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）。该方法能够捕捉数字媒体形态的多样性特征，但需要建立明确的分类标准以避免主观性偏差。在商业摄影与蓝绿屏拍摄技术等注重表现形式的研究中，该方法具有独特优势。</w:t>
      </w:r>
    </w:p>
    <w:p w14:paraId="181031C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改良实验法通过严格的实验设计，为图像隐写等技术创新提供验证平台（王大伟，2009）。该方法注重技术参数的系统性测试，但应用场景存在一定局限性。在影视特效制作与合成等技术创新要求高的领域，该方法能够确保技术方案的可靠性。</w:t>
      </w:r>
    </w:p>
    <w:p w14:paraId="01E24F6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文献计量分析法和翻译理论实践法则分别为古籍数字化研究和国际学术交流提供方法论支持（张金星，2011；马慧玲，2020）。这些方法在数字媒体专业理论体系建设中发挥着不可替代的作用。</w:t>
      </w:r>
    </w:p>
    <w:p w14:paraId="407F9C0F">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以下表格系统对比了各调研方法在数字媒体专业领域的适用性特征：</w:t>
      </w:r>
    </w:p>
    <w:tbl>
      <w:tblPr>
        <w:tblStyle w:val="13"/>
        <w:tblW w:w="5000" w:type="pct"/>
        <w:tblInd w:w="0" w:type="dxa"/>
        <w:tblLayout w:type="autofit"/>
        <w:tblCellMar>
          <w:top w:w="0" w:type="dxa"/>
          <w:left w:w="108" w:type="dxa"/>
          <w:bottom w:w="0" w:type="dxa"/>
          <w:right w:w="108" w:type="dxa"/>
        </w:tblCellMar>
      </w:tblPr>
      <w:tblGrid>
        <w:gridCol w:w="1050"/>
        <w:gridCol w:w="1135"/>
        <w:gridCol w:w="1374"/>
        <w:gridCol w:w="1050"/>
        <w:gridCol w:w="1220"/>
        <w:gridCol w:w="1459"/>
        <w:gridCol w:w="1234"/>
      </w:tblGrid>
      <w:tr w14:paraId="54B66159">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0758466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调研方法</w:t>
            </w:r>
          </w:p>
        </w:tc>
        <w:tc>
          <w:tcPr>
            <w:tcBorders>
              <w:top w:val="single" w:color="222222" w:sz="6" w:space="0"/>
              <w:left w:val="single" w:color="222222" w:sz="6" w:space="0"/>
              <w:bottom w:val="single" w:color="222222" w:sz="6" w:space="0"/>
              <w:right w:val="single" w:color="222222" w:sz="6" w:space="0"/>
            </w:tcBorders>
          </w:tcPr>
          <w:p w14:paraId="7794674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适用对象</w:t>
            </w:r>
          </w:p>
        </w:tc>
        <w:tc>
          <w:tcPr>
            <w:tcBorders>
              <w:top w:val="single" w:color="222222" w:sz="6" w:space="0"/>
              <w:left w:val="single" w:color="222222" w:sz="6" w:space="0"/>
              <w:bottom w:val="single" w:color="222222" w:sz="6" w:space="0"/>
              <w:right w:val="single" w:color="222222" w:sz="6" w:space="0"/>
            </w:tcBorders>
          </w:tcPr>
          <w:p w14:paraId="794AB4D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核心优势</w:t>
            </w:r>
          </w:p>
        </w:tc>
        <w:tc>
          <w:tcPr>
            <w:tcBorders>
              <w:top w:val="single" w:color="222222" w:sz="6" w:space="0"/>
              <w:left w:val="single" w:color="222222" w:sz="6" w:space="0"/>
              <w:bottom w:val="single" w:color="222222" w:sz="6" w:space="0"/>
              <w:right w:val="single" w:color="222222" w:sz="6" w:space="0"/>
            </w:tcBorders>
          </w:tcPr>
          <w:p w14:paraId="5A53B15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局限性</w:t>
            </w:r>
          </w:p>
        </w:tc>
        <w:tc>
          <w:tcPr>
            <w:tcBorders>
              <w:top w:val="single" w:color="222222" w:sz="6" w:space="0"/>
              <w:left w:val="single" w:color="222222" w:sz="6" w:space="0"/>
              <w:bottom w:val="single" w:color="222222" w:sz="6" w:space="0"/>
              <w:right w:val="single" w:color="222222" w:sz="6" w:space="0"/>
            </w:tcBorders>
          </w:tcPr>
          <w:p w14:paraId="6D2444B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典型案例应用领域</w:t>
            </w:r>
          </w:p>
        </w:tc>
        <w:tc>
          <w:tcPr>
            <w:tcBorders>
              <w:top w:val="single" w:color="222222" w:sz="6" w:space="0"/>
              <w:left w:val="single" w:color="222222" w:sz="6" w:space="0"/>
              <w:bottom w:val="single" w:color="222222" w:sz="6" w:space="0"/>
              <w:right w:val="single" w:color="222222" w:sz="6" w:space="0"/>
            </w:tcBorders>
          </w:tcPr>
          <w:p w14:paraId="18EF010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学术规范要求</w:t>
            </w:r>
          </w:p>
        </w:tc>
        <w:tc>
          <w:tcPr>
            <w:tcBorders>
              <w:top w:val="single" w:color="222222" w:sz="6" w:space="0"/>
              <w:left w:val="single" w:color="222222" w:sz="6" w:space="0"/>
              <w:bottom w:val="single" w:color="222222" w:sz="6" w:space="0"/>
              <w:right w:val="single" w:color="222222" w:sz="6" w:space="0"/>
            </w:tcBorders>
          </w:tcPr>
          <w:p w14:paraId="12DA427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代表文献作者</w:t>
            </w:r>
          </w:p>
        </w:tc>
      </w:tr>
      <w:tr w14:paraId="66BA993E">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3F52097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实证研究法</w:t>
            </w:r>
          </w:p>
        </w:tc>
        <w:tc>
          <w:tcPr>
            <w:tcBorders>
              <w:top w:val="single" w:color="222222" w:sz="6" w:space="0"/>
              <w:left w:val="single" w:color="222222" w:sz="6" w:space="0"/>
              <w:bottom w:val="single" w:color="222222" w:sz="6" w:space="0"/>
              <w:right w:val="single" w:color="222222" w:sz="6" w:space="0"/>
            </w:tcBorders>
          </w:tcPr>
          <w:p w14:paraId="4BA5ED5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新媒体情感传递研究</w:t>
            </w:r>
          </w:p>
        </w:tc>
        <w:tc>
          <w:tcPr>
            <w:tcBorders>
              <w:top w:val="single" w:color="222222" w:sz="6" w:space="0"/>
              <w:left w:val="single" w:color="222222" w:sz="6" w:space="0"/>
              <w:bottom w:val="single" w:color="222222" w:sz="6" w:space="0"/>
              <w:right w:val="single" w:color="222222" w:sz="6" w:space="0"/>
            </w:tcBorders>
          </w:tcPr>
          <w:p w14:paraId="6E3337A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案例验证、数据直观</w:t>
            </w:r>
          </w:p>
        </w:tc>
        <w:tc>
          <w:tcPr>
            <w:tcBorders>
              <w:top w:val="single" w:color="222222" w:sz="6" w:space="0"/>
              <w:left w:val="single" w:color="222222" w:sz="6" w:space="0"/>
              <w:bottom w:val="single" w:color="222222" w:sz="6" w:space="0"/>
              <w:right w:val="single" w:color="222222" w:sz="6" w:space="0"/>
            </w:tcBorders>
          </w:tcPr>
          <w:p w14:paraId="3811514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样本代表性要求高</w:t>
            </w:r>
          </w:p>
        </w:tc>
        <w:tc>
          <w:tcPr>
            <w:tcBorders>
              <w:top w:val="single" w:color="222222" w:sz="6" w:space="0"/>
              <w:left w:val="single" w:color="222222" w:sz="6" w:space="0"/>
              <w:bottom w:val="single" w:color="222222" w:sz="6" w:space="0"/>
              <w:right w:val="single" w:color="222222" w:sz="6" w:space="0"/>
            </w:tcBorders>
          </w:tcPr>
          <w:p w14:paraId="5968239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治愈系短视频情感分析</w:t>
            </w:r>
          </w:p>
        </w:tc>
        <w:tc>
          <w:tcPr>
            <w:tcBorders>
              <w:top w:val="single" w:color="222222" w:sz="6" w:space="0"/>
              <w:left w:val="single" w:color="222222" w:sz="6" w:space="0"/>
              <w:bottom w:val="single" w:color="222222" w:sz="6" w:space="0"/>
              <w:right w:val="single" w:color="222222" w:sz="6" w:space="0"/>
            </w:tcBorders>
          </w:tcPr>
          <w:p w14:paraId="2F4044C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数据来源透明、伦理审查</w:t>
            </w:r>
          </w:p>
        </w:tc>
        <w:tc>
          <w:tcPr>
            <w:tcBorders>
              <w:top w:val="single" w:color="222222" w:sz="6" w:space="0"/>
              <w:left w:val="single" w:color="222222" w:sz="6" w:space="0"/>
              <w:bottom w:val="single" w:color="222222" w:sz="6" w:space="0"/>
              <w:right w:val="single" w:color="222222" w:sz="6" w:space="0"/>
            </w:tcBorders>
          </w:tcPr>
          <w:p w14:paraId="3464325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李江雪 (2021)</w:t>
            </w:r>
          </w:p>
        </w:tc>
      </w:tr>
      <w:tr w14:paraId="56CBA839">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703020D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算法开发与实验</w:t>
            </w:r>
          </w:p>
        </w:tc>
        <w:tc>
          <w:tcPr>
            <w:tcBorders>
              <w:top w:val="single" w:color="222222" w:sz="6" w:space="0"/>
              <w:left w:val="single" w:color="222222" w:sz="6" w:space="0"/>
              <w:bottom w:val="single" w:color="222222" w:sz="6" w:space="0"/>
              <w:right w:val="single" w:color="222222" w:sz="6" w:space="0"/>
            </w:tcBorders>
          </w:tcPr>
          <w:p w14:paraId="3FB76F1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数字内容排版系统</w:t>
            </w:r>
          </w:p>
        </w:tc>
        <w:tc>
          <w:tcPr>
            <w:tcBorders>
              <w:top w:val="single" w:color="222222" w:sz="6" w:space="0"/>
              <w:left w:val="single" w:color="222222" w:sz="6" w:space="0"/>
              <w:bottom w:val="single" w:color="222222" w:sz="6" w:space="0"/>
              <w:right w:val="single" w:color="222222" w:sz="6" w:space="0"/>
            </w:tcBorders>
          </w:tcPr>
          <w:p w14:paraId="2F8BD7D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流程自动化、效率提升</w:t>
            </w:r>
          </w:p>
        </w:tc>
        <w:tc>
          <w:tcPr>
            <w:tcBorders>
              <w:top w:val="single" w:color="222222" w:sz="6" w:space="0"/>
              <w:left w:val="single" w:color="222222" w:sz="6" w:space="0"/>
              <w:bottom w:val="single" w:color="222222" w:sz="6" w:space="0"/>
              <w:right w:val="single" w:color="222222" w:sz="6" w:space="0"/>
            </w:tcBorders>
          </w:tcPr>
          <w:p w14:paraId="23E92A2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技术实现复杂度高</w:t>
            </w:r>
          </w:p>
        </w:tc>
        <w:tc>
          <w:tcPr>
            <w:tcBorders>
              <w:top w:val="single" w:color="222222" w:sz="6" w:space="0"/>
              <w:left w:val="single" w:color="222222" w:sz="6" w:space="0"/>
              <w:bottom w:val="single" w:color="222222" w:sz="6" w:space="0"/>
              <w:right w:val="single" w:color="222222" w:sz="6" w:space="0"/>
            </w:tcBorders>
          </w:tcPr>
          <w:p w14:paraId="130D0C5D">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跨媒体出版自动化</w:t>
            </w:r>
          </w:p>
        </w:tc>
        <w:tc>
          <w:tcPr>
            <w:tcBorders>
              <w:top w:val="single" w:color="222222" w:sz="6" w:space="0"/>
              <w:left w:val="single" w:color="222222" w:sz="6" w:space="0"/>
              <w:bottom w:val="single" w:color="222222" w:sz="6" w:space="0"/>
              <w:right w:val="single" w:color="222222" w:sz="6" w:space="0"/>
            </w:tcBorders>
          </w:tcPr>
          <w:p w14:paraId="423B2CE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实验可重复性、代码开源</w:t>
            </w:r>
          </w:p>
        </w:tc>
        <w:tc>
          <w:tcPr>
            <w:tcBorders>
              <w:top w:val="single" w:color="222222" w:sz="6" w:space="0"/>
              <w:left w:val="single" w:color="222222" w:sz="6" w:space="0"/>
              <w:bottom w:val="single" w:color="222222" w:sz="6" w:space="0"/>
              <w:right w:val="single" w:color="222222" w:sz="6" w:space="0"/>
            </w:tcBorders>
          </w:tcPr>
          <w:p w14:paraId="6F9D172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方婷云 (2015)</w:t>
            </w:r>
          </w:p>
        </w:tc>
      </w:tr>
      <w:tr w14:paraId="74AE9D89">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6BCCEFB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产业分析策略研究</w:t>
            </w:r>
          </w:p>
        </w:tc>
        <w:tc>
          <w:tcPr>
            <w:tcBorders>
              <w:top w:val="single" w:color="222222" w:sz="6" w:space="0"/>
              <w:left w:val="single" w:color="222222" w:sz="6" w:space="0"/>
              <w:bottom w:val="single" w:color="222222" w:sz="6" w:space="0"/>
              <w:right w:val="single" w:color="222222" w:sz="6" w:space="0"/>
            </w:tcBorders>
          </w:tcPr>
          <w:p w14:paraId="4143D7C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动漫产业链发展</w:t>
            </w:r>
          </w:p>
        </w:tc>
        <w:tc>
          <w:tcPr>
            <w:tcBorders>
              <w:top w:val="single" w:color="222222" w:sz="6" w:space="0"/>
              <w:left w:val="single" w:color="222222" w:sz="6" w:space="0"/>
              <w:bottom w:val="single" w:color="222222" w:sz="6" w:space="0"/>
              <w:right w:val="single" w:color="222222" w:sz="6" w:space="0"/>
            </w:tcBorders>
          </w:tcPr>
          <w:p w14:paraId="442073F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宏观趋势把握</w:t>
            </w:r>
          </w:p>
        </w:tc>
        <w:tc>
          <w:tcPr>
            <w:tcBorders>
              <w:top w:val="single" w:color="222222" w:sz="6" w:space="0"/>
              <w:left w:val="single" w:color="222222" w:sz="6" w:space="0"/>
              <w:bottom w:val="single" w:color="222222" w:sz="6" w:space="0"/>
              <w:right w:val="single" w:color="222222" w:sz="6" w:space="0"/>
            </w:tcBorders>
          </w:tcPr>
          <w:p w14:paraId="6E5589F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政策依赖性较强</w:t>
            </w:r>
          </w:p>
        </w:tc>
        <w:tc>
          <w:tcPr>
            <w:tcBorders>
              <w:top w:val="single" w:color="222222" w:sz="6" w:space="0"/>
              <w:left w:val="single" w:color="222222" w:sz="6" w:space="0"/>
              <w:bottom w:val="single" w:color="222222" w:sz="6" w:space="0"/>
              <w:right w:val="single" w:color="222222" w:sz="6" w:space="0"/>
            </w:tcBorders>
          </w:tcPr>
          <w:p w14:paraId="7DC5F9A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数字媒体技术产业融合</w:t>
            </w:r>
          </w:p>
        </w:tc>
        <w:tc>
          <w:tcPr>
            <w:tcBorders>
              <w:top w:val="single" w:color="222222" w:sz="6" w:space="0"/>
              <w:left w:val="single" w:color="222222" w:sz="6" w:space="0"/>
              <w:bottom w:val="single" w:color="222222" w:sz="6" w:space="0"/>
              <w:right w:val="single" w:color="222222" w:sz="6" w:space="0"/>
            </w:tcBorders>
          </w:tcPr>
          <w:p w14:paraId="24280DB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多维度数据交叉验证</w:t>
            </w:r>
          </w:p>
        </w:tc>
        <w:tc>
          <w:tcPr>
            <w:tcBorders>
              <w:top w:val="single" w:color="222222" w:sz="6" w:space="0"/>
              <w:left w:val="single" w:color="222222" w:sz="6" w:space="0"/>
              <w:bottom w:val="single" w:color="222222" w:sz="6" w:space="0"/>
              <w:right w:val="single" w:color="222222" w:sz="6" w:space="0"/>
            </w:tcBorders>
          </w:tcPr>
          <w:p w14:paraId="018CA2E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李鸿明 (2011)</w:t>
            </w:r>
          </w:p>
        </w:tc>
      </w:tr>
      <w:tr w14:paraId="569CCB84">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BCEF57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形态特征分析</w:t>
            </w:r>
          </w:p>
        </w:tc>
        <w:tc>
          <w:tcPr>
            <w:tcBorders>
              <w:top w:val="single" w:color="222222" w:sz="6" w:space="0"/>
              <w:left w:val="single" w:color="222222" w:sz="6" w:space="0"/>
              <w:bottom w:val="single" w:color="222222" w:sz="6" w:space="0"/>
              <w:right w:val="single" w:color="222222" w:sz="6" w:space="0"/>
            </w:tcBorders>
          </w:tcPr>
          <w:p w14:paraId="0B183A4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数字美术评论转型</w:t>
            </w:r>
          </w:p>
        </w:tc>
        <w:tc>
          <w:tcPr>
            <w:tcBorders>
              <w:top w:val="single" w:color="222222" w:sz="6" w:space="0"/>
              <w:left w:val="single" w:color="222222" w:sz="6" w:space="0"/>
              <w:bottom w:val="single" w:color="222222" w:sz="6" w:space="0"/>
              <w:right w:val="single" w:color="222222" w:sz="6" w:space="0"/>
            </w:tcBorders>
          </w:tcPr>
          <w:p w14:paraId="3C09C4B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多平台比较研究</w:t>
            </w:r>
          </w:p>
        </w:tc>
        <w:tc>
          <w:tcPr>
            <w:tcBorders>
              <w:top w:val="single" w:color="222222" w:sz="6" w:space="0"/>
              <w:left w:val="single" w:color="222222" w:sz="6" w:space="0"/>
              <w:bottom w:val="single" w:color="222222" w:sz="6" w:space="0"/>
              <w:right w:val="single" w:color="222222" w:sz="6" w:space="0"/>
            </w:tcBorders>
          </w:tcPr>
          <w:p w14:paraId="1D9F9C5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主观判断影响大</w:t>
            </w:r>
          </w:p>
        </w:tc>
        <w:tc>
          <w:tcPr>
            <w:tcBorders>
              <w:top w:val="single" w:color="222222" w:sz="6" w:space="0"/>
              <w:left w:val="single" w:color="222222" w:sz="6" w:space="0"/>
              <w:bottom w:val="single" w:color="222222" w:sz="6" w:space="0"/>
              <w:right w:val="single" w:color="222222" w:sz="6" w:space="0"/>
            </w:tcBorders>
          </w:tcPr>
          <w:p w14:paraId="4A507AE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跨媒介艺术评论</w:t>
            </w:r>
          </w:p>
        </w:tc>
        <w:tc>
          <w:tcPr>
            <w:tcBorders>
              <w:top w:val="single" w:color="222222" w:sz="6" w:space="0"/>
              <w:left w:val="single" w:color="222222" w:sz="6" w:space="0"/>
              <w:bottom w:val="single" w:color="222222" w:sz="6" w:space="0"/>
              <w:right w:val="single" w:color="222222" w:sz="6" w:space="0"/>
            </w:tcBorders>
          </w:tcPr>
          <w:p w14:paraId="0FFBD42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分类标准明确定义</w:t>
            </w:r>
          </w:p>
        </w:tc>
        <w:tc>
          <w:tcPr>
            <w:tcBorders>
              <w:top w:val="single" w:color="222222" w:sz="6" w:space="0"/>
              <w:left w:val="single" w:color="222222" w:sz="6" w:space="0"/>
              <w:bottom w:val="single" w:color="222222" w:sz="6" w:space="0"/>
              <w:right w:val="single" w:color="222222" w:sz="6" w:space="0"/>
            </w:tcBorders>
          </w:tcPr>
          <w:p w14:paraId="5C9EFBC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范月 (</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w:t>
            </w:r>
          </w:p>
        </w:tc>
      </w:tr>
      <w:tr w14:paraId="369374A2">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A7CA92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案例模式探讨</w:t>
            </w:r>
          </w:p>
        </w:tc>
        <w:tc>
          <w:tcPr>
            <w:tcBorders>
              <w:top w:val="single" w:color="222222" w:sz="6" w:space="0"/>
              <w:left w:val="single" w:color="222222" w:sz="6" w:space="0"/>
              <w:bottom w:val="single" w:color="222222" w:sz="6" w:space="0"/>
              <w:right w:val="single" w:color="222222" w:sz="6" w:space="0"/>
            </w:tcBorders>
          </w:tcPr>
          <w:p w14:paraId="320E999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乡村数字化发展</w:t>
            </w:r>
          </w:p>
        </w:tc>
        <w:tc>
          <w:tcPr>
            <w:tcBorders>
              <w:top w:val="single" w:color="222222" w:sz="6" w:space="0"/>
              <w:left w:val="single" w:color="222222" w:sz="6" w:space="0"/>
              <w:bottom w:val="single" w:color="222222" w:sz="6" w:space="0"/>
              <w:right w:val="single" w:color="222222" w:sz="6" w:space="0"/>
            </w:tcBorders>
          </w:tcPr>
          <w:p w14:paraId="539788F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实践路径可视化</w:t>
            </w:r>
          </w:p>
        </w:tc>
        <w:tc>
          <w:tcPr>
            <w:tcBorders>
              <w:top w:val="single" w:color="222222" w:sz="6" w:space="0"/>
              <w:left w:val="single" w:color="222222" w:sz="6" w:space="0"/>
              <w:bottom w:val="single" w:color="222222" w:sz="6" w:space="0"/>
              <w:right w:val="single" w:color="222222" w:sz="6" w:space="0"/>
            </w:tcBorders>
          </w:tcPr>
          <w:p w14:paraId="5432561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地域适应性差异</w:t>
            </w:r>
          </w:p>
        </w:tc>
        <w:tc>
          <w:tcPr>
            <w:tcBorders>
              <w:top w:val="single" w:color="222222" w:sz="6" w:space="0"/>
              <w:left w:val="single" w:color="222222" w:sz="6" w:space="0"/>
              <w:bottom w:val="single" w:color="222222" w:sz="6" w:space="0"/>
              <w:right w:val="single" w:color="222222" w:sz="6" w:space="0"/>
            </w:tcBorders>
          </w:tcPr>
          <w:p w14:paraId="0285260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主播经济与村落振兴</w:t>
            </w:r>
          </w:p>
        </w:tc>
        <w:tc>
          <w:tcPr>
            <w:tcBorders>
              <w:top w:val="single" w:color="222222" w:sz="6" w:space="0"/>
              <w:left w:val="single" w:color="222222" w:sz="6" w:space="0"/>
              <w:bottom w:val="single" w:color="222222" w:sz="6" w:space="0"/>
              <w:right w:val="single" w:color="222222" w:sz="6" w:space="0"/>
            </w:tcBorders>
          </w:tcPr>
          <w:p w14:paraId="2F7AF20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田野调查方法规范</w:t>
            </w:r>
          </w:p>
        </w:tc>
        <w:tc>
          <w:tcPr>
            <w:tcBorders>
              <w:top w:val="single" w:color="222222" w:sz="6" w:space="0"/>
              <w:left w:val="single" w:color="222222" w:sz="6" w:space="0"/>
              <w:bottom w:val="single" w:color="222222" w:sz="6" w:space="0"/>
              <w:right w:val="single" w:color="222222" w:sz="6" w:space="0"/>
            </w:tcBorders>
          </w:tcPr>
          <w:p w14:paraId="71AE70A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袁琪 (2023)</w:t>
            </w:r>
          </w:p>
        </w:tc>
      </w:tr>
      <w:tr w14:paraId="018C4453">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345F522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文献计量分析</w:t>
            </w:r>
          </w:p>
        </w:tc>
        <w:tc>
          <w:tcPr>
            <w:tcBorders>
              <w:top w:val="single" w:color="222222" w:sz="6" w:space="0"/>
              <w:left w:val="single" w:color="222222" w:sz="6" w:space="0"/>
              <w:bottom w:val="single" w:color="222222" w:sz="6" w:space="0"/>
              <w:right w:val="single" w:color="222222" w:sz="6" w:space="0"/>
            </w:tcBorders>
          </w:tcPr>
          <w:p w14:paraId="2F6280D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古籍数字化研究</w:t>
            </w:r>
          </w:p>
        </w:tc>
        <w:tc>
          <w:tcPr>
            <w:tcBorders>
              <w:top w:val="single" w:color="222222" w:sz="6" w:space="0"/>
              <w:left w:val="single" w:color="222222" w:sz="6" w:space="0"/>
              <w:bottom w:val="single" w:color="222222" w:sz="6" w:space="0"/>
              <w:right w:val="single" w:color="222222" w:sz="6" w:space="0"/>
            </w:tcBorders>
          </w:tcPr>
          <w:p w14:paraId="173A883D">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传统与现代技术结合</w:t>
            </w:r>
          </w:p>
        </w:tc>
        <w:tc>
          <w:tcPr>
            <w:tcBorders>
              <w:top w:val="single" w:color="222222" w:sz="6" w:space="0"/>
              <w:left w:val="single" w:color="222222" w:sz="6" w:space="0"/>
              <w:bottom w:val="single" w:color="222222" w:sz="6" w:space="0"/>
              <w:right w:val="single" w:color="222222" w:sz="6" w:space="0"/>
            </w:tcBorders>
          </w:tcPr>
          <w:p w14:paraId="27BE524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专业门槛较高</w:t>
            </w:r>
          </w:p>
        </w:tc>
        <w:tc>
          <w:tcPr>
            <w:tcBorders>
              <w:top w:val="single" w:color="222222" w:sz="6" w:space="0"/>
              <w:left w:val="single" w:color="222222" w:sz="6" w:space="0"/>
              <w:bottom w:val="single" w:color="222222" w:sz="6" w:space="0"/>
              <w:right w:val="single" w:color="222222" w:sz="6" w:space="0"/>
            </w:tcBorders>
          </w:tcPr>
          <w:p w14:paraId="5C07537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古代文学数字资源开发</w:t>
            </w:r>
          </w:p>
        </w:tc>
        <w:tc>
          <w:tcPr>
            <w:tcBorders>
              <w:top w:val="single" w:color="222222" w:sz="6" w:space="0"/>
              <w:left w:val="single" w:color="222222" w:sz="6" w:space="0"/>
              <w:bottom w:val="single" w:color="222222" w:sz="6" w:space="0"/>
              <w:right w:val="single" w:color="222222" w:sz="6" w:space="0"/>
            </w:tcBorders>
          </w:tcPr>
          <w:p w14:paraId="015C7EB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版本校勘标准统一</w:t>
            </w:r>
          </w:p>
        </w:tc>
        <w:tc>
          <w:tcPr>
            <w:tcBorders>
              <w:top w:val="single" w:color="222222" w:sz="6" w:space="0"/>
              <w:left w:val="single" w:color="222222" w:sz="6" w:space="0"/>
              <w:bottom w:val="single" w:color="222222" w:sz="6" w:space="0"/>
              <w:right w:val="single" w:color="222222" w:sz="6" w:space="0"/>
            </w:tcBorders>
          </w:tcPr>
          <w:p w14:paraId="6135CF0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张金星 (2011)</w:t>
            </w:r>
          </w:p>
        </w:tc>
      </w:tr>
      <w:tr w14:paraId="38E774C2">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7100154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技术改良实验</w:t>
            </w:r>
          </w:p>
        </w:tc>
        <w:tc>
          <w:tcPr>
            <w:tcBorders>
              <w:top w:val="single" w:color="222222" w:sz="6" w:space="0"/>
              <w:left w:val="single" w:color="222222" w:sz="6" w:space="0"/>
              <w:bottom w:val="single" w:color="222222" w:sz="6" w:space="0"/>
              <w:right w:val="single" w:color="222222" w:sz="6" w:space="0"/>
            </w:tcBorders>
          </w:tcPr>
          <w:p w14:paraId="4E87039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图像隐写技术</w:t>
            </w:r>
          </w:p>
        </w:tc>
        <w:tc>
          <w:tcPr>
            <w:tcBorders>
              <w:top w:val="single" w:color="222222" w:sz="6" w:space="0"/>
              <w:left w:val="single" w:color="222222" w:sz="6" w:space="0"/>
              <w:bottom w:val="single" w:color="222222" w:sz="6" w:space="0"/>
              <w:right w:val="single" w:color="222222" w:sz="6" w:space="0"/>
            </w:tcBorders>
          </w:tcPr>
          <w:p w14:paraId="382EF2B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安全性能提升</w:t>
            </w:r>
          </w:p>
        </w:tc>
        <w:tc>
          <w:tcPr>
            <w:tcBorders>
              <w:top w:val="single" w:color="222222" w:sz="6" w:space="0"/>
              <w:left w:val="single" w:color="222222" w:sz="6" w:space="0"/>
              <w:bottom w:val="single" w:color="222222" w:sz="6" w:space="0"/>
              <w:right w:val="single" w:color="222222" w:sz="6" w:space="0"/>
            </w:tcBorders>
          </w:tcPr>
          <w:p w14:paraId="6A493BB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应用场景受限</w:t>
            </w:r>
          </w:p>
        </w:tc>
        <w:tc>
          <w:tcPr>
            <w:tcBorders>
              <w:top w:val="single" w:color="222222" w:sz="6" w:space="0"/>
              <w:left w:val="single" w:color="222222" w:sz="6" w:space="0"/>
              <w:bottom w:val="single" w:color="222222" w:sz="6" w:space="0"/>
              <w:right w:val="single" w:color="222222" w:sz="6" w:space="0"/>
            </w:tcBorders>
          </w:tcPr>
          <w:p w14:paraId="147ECB9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军事信息安全领域</w:t>
            </w:r>
          </w:p>
        </w:tc>
        <w:tc>
          <w:tcPr>
            <w:tcBorders>
              <w:top w:val="single" w:color="222222" w:sz="6" w:space="0"/>
              <w:left w:val="single" w:color="222222" w:sz="6" w:space="0"/>
              <w:bottom w:val="single" w:color="222222" w:sz="6" w:space="0"/>
              <w:right w:val="single" w:color="222222" w:sz="6" w:space="0"/>
            </w:tcBorders>
          </w:tcPr>
          <w:p w14:paraId="7776BFA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实验对照组设置</w:t>
            </w:r>
          </w:p>
        </w:tc>
        <w:tc>
          <w:tcPr>
            <w:tcBorders>
              <w:top w:val="single" w:color="222222" w:sz="6" w:space="0"/>
              <w:left w:val="single" w:color="222222" w:sz="6" w:space="0"/>
              <w:bottom w:val="single" w:color="222222" w:sz="6" w:space="0"/>
              <w:right w:val="single" w:color="222222" w:sz="6" w:space="0"/>
            </w:tcBorders>
          </w:tcPr>
          <w:p w14:paraId="1B52E89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王大伟 (2009)</w:t>
            </w:r>
          </w:p>
        </w:tc>
      </w:tr>
      <w:tr w14:paraId="53DF6B6F">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B356FB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翻译理论实践</w:t>
            </w:r>
          </w:p>
        </w:tc>
        <w:tc>
          <w:tcPr>
            <w:tcBorders>
              <w:top w:val="single" w:color="222222" w:sz="6" w:space="0"/>
              <w:left w:val="single" w:color="222222" w:sz="6" w:space="0"/>
              <w:bottom w:val="single" w:color="222222" w:sz="6" w:space="0"/>
              <w:right w:val="single" w:color="222222" w:sz="6" w:space="0"/>
            </w:tcBorders>
          </w:tcPr>
          <w:p w14:paraId="600E9A7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数字媒体学术文本</w:t>
            </w:r>
          </w:p>
        </w:tc>
        <w:tc>
          <w:tcPr>
            <w:tcBorders>
              <w:top w:val="single" w:color="222222" w:sz="6" w:space="0"/>
              <w:left w:val="single" w:color="222222" w:sz="6" w:space="0"/>
              <w:bottom w:val="single" w:color="222222" w:sz="6" w:space="0"/>
              <w:right w:val="single" w:color="222222" w:sz="6" w:space="0"/>
            </w:tcBorders>
          </w:tcPr>
          <w:p w14:paraId="537ED2A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跨文化信息传递</w:t>
            </w:r>
          </w:p>
        </w:tc>
        <w:tc>
          <w:tcPr>
            <w:tcBorders>
              <w:top w:val="single" w:color="222222" w:sz="6" w:space="0"/>
              <w:left w:val="single" w:color="222222" w:sz="6" w:space="0"/>
              <w:bottom w:val="single" w:color="222222" w:sz="6" w:space="0"/>
              <w:right w:val="single" w:color="222222" w:sz="6" w:space="0"/>
            </w:tcBorders>
          </w:tcPr>
          <w:p w14:paraId="139E52F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专业术语转换难度</w:t>
            </w:r>
          </w:p>
        </w:tc>
        <w:tc>
          <w:tcPr>
            <w:tcBorders>
              <w:top w:val="single" w:color="222222" w:sz="6" w:space="0"/>
              <w:left w:val="single" w:color="222222" w:sz="6" w:space="0"/>
              <w:bottom w:val="single" w:color="222222" w:sz="6" w:space="0"/>
              <w:right w:val="single" w:color="222222" w:sz="6" w:space="0"/>
            </w:tcBorders>
          </w:tcPr>
          <w:p w14:paraId="72A5944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国际学术著作本地化</w:t>
            </w:r>
          </w:p>
        </w:tc>
        <w:tc>
          <w:tcPr>
            <w:tcBorders>
              <w:top w:val="single" w:color="222222" w:sz="6" w:space="0"/>
              <w:left w:val="single" w:color="222222" w:sz="6" w:space="0"/>
              <w:bottom w:val="single" w:color="222222" w:sz="6" w:space="0"/>
              <w:right w:val="single" w:color="222222" w:sz="6" w:space="0"/>
            </w:tcBorders>
          </w:tcPr>
          <w:p w14:paraId="4B28811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术语库一致性维护</w:t>
            </w:r>
          </w:p>
        </w:tc>
        <w:tc>
          <w:tcPr>
            <w:tcBorders>
              <w:top w:val="single" w:color="222222" w:sz="6" w:space="0"/>
              <w:left w:val="single" w:color="222222" w:sz="6" w:space="0"/>
              <w:bottom w:val="single" w:color="222222" w:sz="6" w:space="0"/>
              <w:right w:val="single" w:color="222222" w:sz="6" w:space="0"/>
            </w:tcBorders>
          </w:tcPr>
          <w:p w14:paraId="19095D7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马慧玲 (2020)</w:t>
            </w:r>
          </w:p>
        </w:tc>
      </w:tr>
    </w:tbl>
    <w:p w14:paraId="4A718A0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具体应用过程中，各种调研方法需要遵循相应的学术规范要求。实证研究法强调数据来源的透明化和研究伦理的审查机制；技术改良实验法则注重实验过程的可重复性和对照组设置的科学性；案例分析法要求田野调查方法的规范性执行。这些规范要求共同构成了数字媒体专业调研方法的质量保障体系。</w:t>
      </w:r>
    </w:p>
    <w:p w14:paraId="76CDA45A">
      <w:pPr>
        <w:pStyle w:val="4"/>
        <w:numPr>
          <w:ilvl w:val="0"/>
          <w:numId w:val="4"/>
        </w:numPr>
        <w:bidi w:val="0"/>
        <w:ind w:left="425" w:leftChars="0" w:hanging="425" w:firstLineChars="0"/>
        <w:rPr>
          <w:rFonts w:hint="eastAsia"/>
        </w:rPr>
      </w:pPr>
      <w:r>
        <w:rPr>
          <w:rFonts w:hint="eastAsia"/>
        </w:rPr>
        <w:t>调研对象的选择标准与样本代表性</w:t>
      </w:r>
    </w:p>
    <w:p w14:paraId="472A7D3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调研对象的选择直接关系到研究结论的有效性和推广价值。本研究基于数字媒体专业的13个细分领域特点，建立了多层次的调研对象选择标准体系。首先，在行业企业层面，重点选择在数字媒体领域具有代表性的头部企业和创新型中小企业，确保样本能够覆盖不同规模、不同业务模式的企业类型。选择标准包括企业规模、行业影响力、技术创新能力、人才培养体系等维度，力求样本能够真实反映行业发展现状。</w:t>
      </w:r>
    </w:p>
    <w:p w14:paraId="592B857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院校机构层面，本研究选取了开设数字媒体专业的高等院校、职业院校以及培训机构作为重要调研对象。选择标准包括办学层次、专业特色、师资力量、实训条件等因素。特别关注那些在交互界面设计、三维动画制作等特定领域具有突出特色的院校，以确保样本的专业代表性。同时，考虑到地域分布的均衡性，样本覆盖了东部沿海地区和中西部地区的教育机构，避免地域因素导致的偏差。</w:t>
      </w:r>
    </w:p>
    <w:p w14:paraId="147C145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于从业人员和毕业生的调研，本研究采用了分层抽样和雪球抽样相结合的方法。根据从业年限、职位层级、专业领域等特征建立抽样框架，确保样本能够覆盖从初级到高级的不同职业发展阶段。特别是在数字三维角色设计、光影与质感表现技术等专业化程度较高的领域，重点选取具有丰富实践经验的从业人员作为深度访谈对象。</w:t>
      </w:r>
    </w:p>
    <w:p w14:paraId="4DB12048">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样本代表性保障方面，本研究采取了多项措施。首先，通过前期调研确定各细分领域的总体规模和市场结构，以此为基础确定各子群体的样本比例。例如，在影视剪辑实训和音视频处理技术等应用广泛的领域，适当扩大样本规模；而在720全景拍摄与缝合技术等新兴领域，则注重样本的质量而非数量。其次，建立动态调整机制，在调研过程中根据实际情况对样本结构进行优化，确保最终样本能够较好地代表总体特征。</w:t>
      </w:r>
    </w:p>
    <w:p w14:paraId="04C7F96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针对可能出现的样本偏差问题，本研究通过多渠道验证和三角互证的方法进行控制。例如，对企业需求的调研不仅通过问卷调查收集数据，还结合深度访谈和现场观察等方法进行交叉验证。对院校培养质量的评估则综合了教师访谈、学生反馈、用人单位评价等多方面信息，确保调研结果的真实性和可靠性。</w:t>
      </w:r>
    </w:p>
    <w:p w14:paraId="0BCF730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特殊群体调研方面，本研究特别关注了数字媒体领域自由职业者和创业者的代表性。这些群体在商业模式创新和技术应用创新方面往往具有独特价值，但其分散性和流动性给样本选择带来挑战。为此，本研究通过行业协会、创业园区、线上社区等多种渠道建立联系，确保这部分重要群体不被忽视。</w:t>
      </w:r>
    </w:p>
    <w:p w14:paraId="332480DE">
      <w:pPr>
        <w:pStyle w:val="4"/>
        <w:numPr>
          <w:ilvl w:val="0"/>
          <w:numId w:val="4"/>
        </w:numPr>
        <w:bidi w:val="0"/>
        <w:ind w:left="425" w:leftChars="0" w:hanging="425" w:firstLineChars="0"/>
        <w:rPr>
          <w:rFonts w:hint="eastAsia"/>
        </w:rPr>
      </w:pPr>
      <w:r>
        <w:rPr>
          <w:rFonts w:hint="eastAsia"/>
        </w:rPr>
        <w:t>调研内容框架的系统性与完整性</w:t>
      </w:r>
    </w:p>
    <w:p w14:paraId="3585AA8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研究构建的调研内容框架基于数字媒体产业链的全过程视角，覆盖技术研发、内容创作、生产制作、传播运营等关键环节。框架设计遵循系统性、完整性和可操作性原则，确保各调研内容模块既相对独立又有机联系，共同构成对数字媒体专业人才培养的全面诊断体系。</w:t>
      </w:r>
    </w:p>
    <w:p w14:paraId="40910AC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核心调研内容模块包括职业岗位分析、能力素质要求、技术发展趋势、人才培养现状四个维度。在职业岗位分析方面，针对13个细分领域建立了详细的岗位职责库和任职要求数据库。每个领域的调研内容都包含岗位设置现状、职责范围、层级结构、薪资水平等关键信息。特别是对于数字三维场景设计、三维资产制作实训等技术要求较高的岗位，重点调研其技术规范和质量标准体系。</w:t>
      </w:r>
    </w:p>
    <w:p w14:paraId="4B001CA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能力素质要求调研采用分层框架设计，包括基础能力、专业能力、综合素养三个层次。基础能力层面关注数字媒体从业者所需的通用技能，如计算机操作、设计基础、审美能力等；专业能力层面则针对各细分领域的特点，建立差异化的能力要求体系。例如，交互界面设计技术侧重用户体验分析和界面原型设计能力，而影视特效制作与合成则强调视觉效果创作和技术实现能力。</w:t>
      </w:r>
    </w:p>
    <w:p w14:paraId="3DB69AB8">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发展趋势调研采用前瞻性视角，重点关注数字媒体技术的最新发展和未来走向。调研内容包括关键技术突破、技术融合创新、产业应用前景等方面。特别是对MG动画制作技术、三维动画制作技术等快速演进领域，建立了技术发展路径图，分析其对各专业方向人才培养的影响和要求。</w:t>
      </w:r>
    </w:p>
    <w:p w14:paraId="59D8271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才培养现状调研采用多角度评估方法，包括课程体系分析、教学资源配置、实训条件建设、师资队伍结构、教学质量评价等模块。每个模块都设计了详细的调研指标和评价标准，确保数据采集的系统性和可比性。例如，在实训条件建设方面，不仅关注设备配置情况，还重点调研实训项目的设计质量、管理机制和效果评价体系。</w:t>
      </w:r>
    </w:p>
    <w:p w14:paraId="0FD78F1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以下图表直观展示了调研内容框架的系统结构：</w:t>
      </w:r>
    </w:p>
    <w:p w14:paraId="46B085F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p>
    <w:tbl>
      <w:tblPr>
        <w:tblStyle w:val="13"/>
        <w:tblW w:w="97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15"/>
      </w:tblGrid>
      <w:tr w14:paraId="6C11C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vAlign w:val="center"/>
          </w:tcPr>
          <w:p w14:paraId="09924CFE">
            <w:pPr>
              <w:pageBreakBefore w:val="0"/>
              <w:widowControl/>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drawing>
                <wp:anchor distT="0" distB="0" distL="0" distR="0" simplePos="0" relativeHeight="251662336" behindDoc="0" locked="0" layoutInCell="1" allowOverlap="1">
                  <wp:simplePos x="0" y="0"/>
                  <wp:positionH relativeFrom="column">
                    <wp:posOffset>0</wp:posOffset>
                  </wp:positionH>
                  <wp:positionV relativeFrom="paragraph">
                    <wp:posOffset>-3179445</wp:posOffset>
                  </wp:positionV>
                  <wp:extent cx="5732145" cy="3402965"/>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732145" cy="3403461"/>
                          </a:xfrm>
                          <a:prstGeom prst="rect">
                            <a:avLst/>
                          </a:prstGeom>
                        </pic:spPr>
                      </pic:pic>
                    </a:graphicData>
                  </a:graphic>
                </wp:anchor>
              </w:drawing>
            </w:r>
          </w:p>
        </w:tc>
      </w:tr>
      <w:tr w14:paraId="608F3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vAlign w:val="center"/>
          </w:tcPr>
          <w:p w14:paraId="0EB3BACB">
            <w:pPr>
              <w:pageBreakBefore w:val="0"/>
              <w:widowControl/>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数字媒体专业调研内容框架系统图</w:t>
            </w:r>
          </w:p>
        </w:tc>
      </w:tr>
    </w:tbl>
    <w:p w14:paraId="222FE6F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p>
    <w:p w14:paraId="7259E9B8">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调研内容的完整性保障方面，本研究建立了内容效度评估机制。通过专家咨询、试点调研等方法，对调研框架的覆盖面和深度进行持续优化。特别是在商业摄影与蓝绿屏拍摄技术等实践性强的领域，增加了工艺流程、质量控制等实操性内容的调研比重。同时，注重各内容模块之间的逻辑关联，确保从不同角度收集的信息能够相互印证、形成完整证据链。</w:t>
      </w:r>
    </w:p>
    <w:p w14:paraId="2B64239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了适应数字媒体领域的快速变化特点，调研内容框架还设计了动态更新机制。在保持核心框架稳定的前提下，允许根据技术发展和市场需求的变化，适时调整部分调研重点和内容细节。这种灵活性设计确保了调研工作能够及时捕捉行业最新动态，为人才培养方案修订提供时效性强的决策依据。</w:t>
      </w:r>
    </w:p>
    <w:p w14:paraId="33D41F65">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数据采集工具设计方面，针对不同的调研内容模块开发了相应的问卷、访谈提纲、观察记录表等工具。所有工具都经过预测试和信效度检验，确保能够准确、有效地收集所需信息。特别是在影视剪辑实训、音视频处理技术等需要评估实际操作能力的领域，设计了基于真实工作任务的技能测评方案，使调研结果更加客观可靠。</w:t>
      </w:r>
    </w:p>
    <w:p w14:paraId="01584B4E">
      <w:pPr>
        <w:pStyle w:val="3"/>
        <w:numPr>
          <w:ilvl w:val="0"/>
          <w:numId w:val="3"/>
        </w:numPr>
        <w:bidi w:val="0"/>
        <w:ind w:left="-420" w:leftChars="0" w:firstLine="420" w:firstLineChars="0"/>
        <w:rPr>
          <w:rFonts w:hint="eastAsia"/>
        </w:rPr>
      </w:pPr>
      <w:bookmarkStart w:id="6" w:name="_Toc14903"/>
      <w:r>
        <w:rPr>
          <w:rFonts w:hint="eastAsia"/>
        </w:rPr>
        <w:t>行业发展现状与趋势分析</w:t>
      </w:r>
      <w:bookmarkEnd w:id="6"/>
    </w:p>
    <w:p w14:paraId="2525B75F">
      <w:pPr>
        <w:pStyle w:val="4"/>
        <w:numPr>
          <w:ilvl w:val="0"/>
          <w:numId w:val="5"/>
        </w:numPr>
        <w:bidi w:val="0"/>
        <w:ind w:left="425" w:leftChars="0" w:hanging="425" w:firstLineChars="0"/>
        <w:rPr>
          <w:rFonts w:hint="eastAsia"/>
        </w:rPr>
      </w:pPr>
      <w:r>
        <w:rPr>
          <w:rFonts w:hint="eastAsia"/>
        </w:rPr>
        <w:t>行业市场规模与结构特征分析</w:t>
      </w:r>
    </w:p>
    <w:p w14:paraId="7536E5C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数字媒体行业作为数字经济的重要组成部分，近年来呈现出爆发式增长态势。根据最新行业研究报告显示，全球数字媒体市场规模预计在</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年突破4000亿美元，年增长率达到12%，其中中国已成为全球最大的增量市场。从国内发展情况来看，数字经济核心产业规模加快增长，全国软件业务收入从2012年的2.5万亿元增长到2021年的9.6万亿元，年均增速达16.1%，显示出行业强大的发展潜力。</w:t>
      </w:r>
    </w:p>
    <w:p w14:paraId="0D96665F">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行业结构特征方面，数字媒体行业呈现出多元化、细分化的特点。短视频领域用户规模已超过12亿，成为数字媒体领域的重要增长极；游戏产业年营收达到3000亿元，占全球市场份额的30%；影视特效团队数量在十年间增长了20倍，表明行业专业化程度不断提升。此外，大数据产业规模达到1.3万亿元，工业互联网核心产业规模超过1万亿元，这些数据充分体现了数字媒体行业结构的多样性和复杂性。</w:t>
      </w:r>
    </w:p>
    <w:p w14:paraId="68DBA7C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从消费端来看，用户日均数字内容消费时长已增至6.5小时，反映出数字媒体在日常生活中的渗透程度不断加深。特别是在后疫情时代，数字内容消费习惯的养成进一步推动了行业市场规模扩张。数字内容产业的市场规模从2013年的2157.8亿元增长至2021年的14009.6亿元，年复合增长率接近30%，这种快速增长态势预计在未来五年仍将持续。</w:t>
      </w:r>
    </w:p>
    <w:tbl>
      <w:tblPr>
        <w:tblStyle w:val="13"/>
        <w:tblW w:w="5000" w:type="pct"/>
        <w:tblInd w:w="0" w:type="dxa"/>
        <w:tblLayout w:type="autofit"/>
        <w:tblCellMar>
          <w:top w:w="0" w:type="dxa"/>
          <w:left w:w="108" w:type="dxa"/>
          <w:bottom w:w="0" w:type="dxa"/>
          <w:right w:w="108" w:type="dxa"/>
        </w:tblCellMar>
      </w:tblPr>
      <w:tblGrid>
        <w:gridCol w:w="1023"/>
        <w:gridCol w:w="1519"/>
        <w:gridCol w:w="1251"/>
        <w:gridCol w:w="996"/>
        <w:gridCol w:w="1602"/>
        <w:gridCol w:w="1081"/>
        <w:gridCol w:w="1050"/>
      </w:tblGrid>
      <w:tr w14:paraId="07C97866">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7797676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细分领域</w:t>
            </w:r>
          </w:p>
        </w:tc>
        <w:tc>
          <w:tcPr>
            <w:tcBorders>
              <w:top w:val="single" w:color="222222" w:sz="6" w:space="0"/>
              <w:left w:val="single" w:color="222222" w:sz="6" w:space="0"/>
              <w:bottom w:val="single" w:color="222222" w:sz="6" w:space="0"/>
              <w:right w:val="single" w:color="222222" w:sz="6" w:space="0"/>
            </w:tcBorders>
          </w:tcPr>
          <w:p w14:paraId="3DA552C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2023年市场规模（亿元）</w:t>
            </w:r>
          </w:p>
        </w:tc>
        <w:tc>
          <w:tcPr>
            <w:tcBorders>
              <w:top w:val="single" w:color="222222" w:sz="6" w:space="0"/>
              <w:left w:val="single" w:color="222222" w:sz="6" w:space="0"/>
              <w:bottom w:val="single" w:color="222222" w:sz="6" w:space="0"/>
              <w:right w:val="single" w:color="222222" w:sz="6" w:space="0"/>
            </w:tcBorders>
          </w:tcPr>
          <w:p w14:paraId="3203814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eastAsia="zh-CN"/>
              </w:rPr>
              <w:t>202</w:t>
            </w:r>
            <w:r>
              <w:rPr>
                <w:rFonts w:hint="eastAsia" w:asciiTheme="minorEastAsia" w:hAnsiTheme="minorEastAsia" w:eastAsiaTheme="minorEastAsia" w:cstheme="minorEastAsia"/>
                <w:b/>
                <w:bCs/>
                <w:sz w:val="24"/>
                <w:szCs w:val="24"/>
                <w:lang w:val="en-US" w:eastAsia="zh-CN"/>
              </w:rPr>
              <w:t>5</w:t>
            </w:r>
            <w:r>
              <w:rPr>
                <w:rFonts w:hint="eastAsia" w:asciiTheme="minorEastAsia" w:hAnsiTheme="minorEastAsia" w:eastAsiaTheme="minorEastAsia" w:cstheme="minorEastAsia"/>
                <w:b/>
                <w:bCs/>
                <w:sz w:val="24"/>
                <w:szCs w:val="24"/>
              </w:rPr>
              <w:t>年预测规模（亿元）</w:t>
            </w:r>
          </w:p>
        </w:tc>
        <w:tc>
          <w:tcPr>
            <w:tcBorders>
              <w:top w:val="single" w:color="222222" w:sz="6" w:space="0"/>
              <w:left w:val="single" w:color="222222" w:sz="6" w:space="0"/>
              <w:bottom w:val="single" w:color="222222" w:sz="6" w:space="0"/>
              <w:right w:val="single" w:color="222222" w:sz="6" w:space="0"/>
            </w:tcBorders>
          </w:tcPr>
          <w:p w14:paraId="1807DB5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年增长率</w:t>
            </w:r>
          </w:p>
        </w:tc>
        <w:tc>
          <w:tcPr>
            <w:tcBorders>
              <w:top w:val="single" w:color="222222" w:sz="6" w:space="0"/>
              <w:left w:val="single" w:color="222222" w:sz="6" w:space="0"/>
              <w:bottom w:val="single" w:color="222222" w:sz="6" w:space="0"/>
              <w:right w:val="single" w:color="222222" w:sz="6" w:space="0"/>
            </w:tcBorders>
          </w:tcPr>
          <w:p w14:paraId="50CD8A4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主要驱动因素</w:t>
            </w:r>
          </w:p>
        </w:tc>
        <w:tc>
          <w:tcPr>
            <w:tcBorders>
              <w:top w:val="single" w:color="222222" w:sz="6" w:space="0"/>
              <w:left w:val="single" w:color="222222" w:sz="6" w:space="0"/>
              <w:bottom w:val="single" w:color="222222" w:sz="6" w:space="0"/>
              <w:right w:val="single" w:color="222222" w:sz="6" w:space="0"/>
            </w:tcBorders>
          </w:tcPr>
          <w:p w14:paraId="74CB2A6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代表企业/平台</w:t>
            </w:r>
          </w:p>
        </w:tc>
        <w:tc>
          <w:tcPr>
            <w:tcBorders>
              <w:top w:val="single" w:color="222222" w:sz="6" w:space="0"/>
              <w:left w:val="single" w:color="222222" w:sz="6" w:space="0"/>
              <w:bottom w:val="single" w:color="222222" w:sz="6" w:space="0"/>
              <w:right w:val="single" w:color="222222" w:sz="6" w:space="0"/>
            </w:tcBorders>
          </w:tcPr>
          <w:p w14:paraId="0BD798C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政策支持情况</w:t>
            </w:r>
          </w:p>
        </w:tc>
      </w:tr>
      <w:tr w14:paraId="0DC11523">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D8D10B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短视频</w:t>
            </w:r>
          </w:p>
        </w:tc>
        <w:tc>
          <w:tcPr>
            <w:tcBorders>
              <w:top w:val="single" w:color="222222" w:sz="6" w:space="0"/>
              <w:left w:val="single" w:color="222222" w:sz="6" w:space="0"/>
              <w:bottom w:val="single" w:color="222222" w:sz="6" w:space="0"/>
              <w:right w:val="single" w:color="222222" w:sz="6" w:space="0"/>
            </w:tcBorders>
          </w:tcPr>
          <w:p w14:paraId="0002599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2B1D15A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0217902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Borders>
              <w:top w:val="single" w:color="222222" w:sz="6" w:space="0"/>
              <w:left w:val="single" w:color="222222" w:sz="6" w:space="0"/>
              <w:bottom w:val="single" w:color="222222" w:sz="6" w:space="0"/>
              <w:right w:val="single" w:color="222222" w:sz="6" w:space="0"/>
            </w:tcBorders>
          </w:tcPr>
          <w:p w14:paraId="7DB7A73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算法推荐、用户参与度高</w:t>
            </w:r>
          </w:p>
        </w:tc>
        <w:tc>
          <w:tcPr>
            <w:tcBorders>
              <w:top w:val="single" w:color="222222" w:sz="6" w:space="0"/>
              <w:left w:val="single" w:color="222222" w:sz="6" w:space="0"/>
              <w:bottom w:val="single" w:color="222222" w:sz="6" w:space="0"/>
              <w:right w:val="single" w:color="222222" w:sz="6" w:space="0"/>
            </w:tcBorders>
          </w:tcPr>
          <w:p w14:paraId="4C5BA01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抖音、快手</w:t>
            </w:r>
          </w:p>
        </w:tc>
        <w:tc>
          <w:tcPr>
            <w:tcBorders>
              <w:top w:val="single" w:color="222222" w:sz="6" w:space="0"/>
              <w:left w:val="single" w:color="222222" w:sz="6" w:space="0"/>
              <w:bottom w:val="single" w:color="222222" w:sz="6" w:space="0"/>
              <w:right w:val="single" w:color="222222" w:sz="6" w:space="0"/>
            </w:tcBorders>
          </w:tcPr>
          <w:p w14:paraId="7931EBF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文化数字化政策倾斜</w:t>
            </w:r>
          </w:p>
        </w:tc>
      </w:tr>
      <w:tr w14:paraId="73D6C41C">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1D9BA97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游戏产业</w:t>
            </w:r>
          </w:p>
        </w:tc>
        <w:tc>
          <w:tcPr>
            <w:tcBorders>
              <w:top w:val="single" w:color="222222" w:sz="6" w:space="0"/>
              <w:left w:val="single" w:color="222222" w:sz="6" w:space="0"/>
              <w:bottom w:val="single" w:color="222222" w:sz="6" w:space="0"/>
              <w:right w:val="single" w:color="222222" w:sz="6" w:space="0"/>
            </w:tcBorders>
          </w:tcPr>
          <w:p w14:paraId="2FE6CA4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3000</w:t>
            </w:r>
          </w:p>
        </w:tc>
        <w:tc>
          <w:tcPr>
            <w:tcBorders>
              <w:top w:val="single" w:color="222222" w:sz="6" w:space="0"/>
              <w:left w:val="single" w:color="222222" w:sz="6" w:space="0"/>
              <w:bottom w:val="single" w:color="222222" w:sz="6" w:space="0"/>
              <w:right w:val="single" w:color="222222" w:sz="6" w:space="0"/>
            </w:tcBorders>
          </w:tcPr>
          <w:p w14:paraId="0663D13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101CB9F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1DF1F51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元宇宙技术融合、全球市场份额30%</w:t>
            </w:r>
          </w:p>
        </w:tc>
        <w:tc>
          <w:tcPr>
            <w:tcBorders>
              <w:top w:val="single" w:color="222222" w:sz="6" w:space="0"/>
              <w:left w:val="single" w:color="222222" w:sz="6" w:space="0"/>
              <w:bottom w:val="single" w:color="222222" w:sz="6" w:space="0"/>
              <w:right w:val="single" w:color="222222" w:sz="6" w:space="0"/>
            </w:tcBorders>
          </w:tcPr>
          <w:p w14:paraId="2792ACB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腾讯、网易</w:t>
            </w:r>
          </w:p>
        </w:tc>
        <w:tc>
          <w:tcPr>
            <w:tcBorders>
              <w:top w:val="single" w:color="222222" w:sz="6" w:space="0"/>
              <w:left w:val="single" w:color="222222" w:sz="6" w:space="0"/>
              <w:bottom w:val="single" w:color="222222" w:sz="6" w:space="0"/>
              <w:right w:val="single" w:color="222222" w:sz="6" w:space="0"/>
            </w:tcBorders>
          </w:tcPr>
          <w:p w14:paraId="7D7C8B7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数字创意战略性新兴产业</w:t>
            </w:r>
          </w:p>
        </w:tc>
      </w:tr>
      <w:tr w14:paraId="668DF61B">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1FFDDCB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VR/AR</w:t>
            </w:r>
          </w:p>
        </w:tc>
        <w:tc>
          <w:tcPr>
            <w:tcBorders>
              <w:top w:val="single" w:color="222222" w:sz="6" w:space="0"/>
              <w:left w:val="single" w:color="222222" w:sz="6" w:space="0"/>
              <w:bottom w:val="single" w:color="222222" w:sz="6" w:space="0"/>
              <w:right w:val="single" w:color="222222" w:sz="6" w:space="0"/>
            </w:tcBorders>
          </w:tcPr>
          <w:p w14:paraId="5A5A1AF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1035.9</w:t>
            </w:r>
          </w:p>
        </w:tc>
        <w:tc>
          <w:tcPr>
            <w:tcBorders>
              <w:top w:val="single" w:color="222222" w:sz="6" w:space="0"/>
              <w:left w:val="single" w:color="222222" w:sz="6" w:space="0"/>
              <w:bottom w:val="single" w:color="222222" w:sz="6" w:space="0"/>
              <w:right w:val="single" w:color="222222" w:sz="6" w:space="0"/>
            </w:tcBorders>
          </w:tcPr>
          <w:p w14:paraId="762DC6E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416FC05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46.54%</w:t>
            </w:r>
          </w:p>
        </w:tc>
        <w:tc>
          <w:tcPr>
            <w:tcBorders>
              <w:top w:val="single" w:color="222222" w:sz="6" w:space="0"/>
              <w:left w:val="single" w:color="222222" w:sz="6" w:space="0"/>
              <w:bottom w:val="single" w:color="222222" w:sz="6" w:space="0"/>
              <w:right w:val="single" w:color="222222" w:sz="6" w:space="0"/>
            </w:tcBorders>
          </w:tcPr>
          <w:p w14:paraId="7597742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5G+AI技术突破、应用场景扩展</w:t>
            </w:r>
          </w:p>
        </w:tc>
        <w:tc>
          <w:tcPr>
            <w:tcBorders>
              <w:top w:val="single" w:color="222222" w:sz="6" w:space="0"/>
              <w:left w:val="single" w:color="222222" w:sz="6" w:space="0"/>
              <w:bottom w:val="single" w:color="222222" w:sz="6" w:space="0"/>
              <w:right w:val="single" w:color="222222" w:sz="6" w:space="0"/>
            </w:tcBorders>
          </w:tcPr>
          <w:p w14:paraId="1074F08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4D9272B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虚拟现实产业政策加码</w:t>
            </w:r>
          </w:p>
        </w:tc>
      </w:tr>
      <w:tr w14:paraId="29D1E610">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04787A9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数字内容整体</w:t>
            </w:r>
          </w:p>
        </w:tc>
        <w:tc>
          <w:tcPr>
            <w:tcBorders>
              <w:top w:val="single" w:color="222222" w:sz="6" w:space="0"/>
              <w:left w:val="single" w:color="222222" w:sz="6" w:space="0"/>
              <w:bottom w:val="single" w:color="222222" w:sz="6" w:space="0"/>
              <w:right w:val="single" w:color="222222" w:sz="6" w:space="0"/>
            </w:tcBorders>
          </w:tcPr>
          <w:p w14:paraId="6894C5E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14009.6</w:t>
            </w:r>
          </w:p>
        </w:tc>
        <w:tc>
          <w:tcPr>
            <w:tcBorders>
              <w:top w:val="single" w:color="222222" w:sz="6" w:space="0"/>
              <w:left w:val="single" w:color="222222" w:sz="6" w:space="0"/>
              <w:bottom w:val="single" w:color="222222" w:sz="6" w:space="0"/>
              <w:right w:val="single" w:color="222222" w:sz="6" w:space="0"/>
            </w:tcBorders>
          </w:tcPr>
          <w:p w14:paraId="7006194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1EC8282D">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4E660EE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多元化需求、技术普及</w:t>
            </w:r>
          </w:p>
        </w:tc>
        <w:tc>
          <w:tcPr>
            <w:tcBorders>
              <w:top w:val="single" w:color="222222" w:sz="6" w:space="0"/>
              <w:left w:val="single" w:color="222222" w:sz="6" w:space="0"/>
              <w:bottom w:val="single" w:color="222222" w:sz="6" w:space="0"/>
              <w:right w:val="single" w:color="222222" w:sz="6" w:space="0"/>
            </w:tcBorders>
          </w:tcPr>
          <w:p w14:paraId="7F4365C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06546AE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国家"十四五"规划重点</w:t>
            </w:r>
          </w:p>
        </w:tc>
      </w:tr>
      <w:tr w14:paraId="616C2672">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903F4A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工业互联网</w:t>
            </w:r>
          </w:p>
        </w:tc>
        <w:tc>
          <w:tcPr>
            <w:tcBorders>
              <w:top w:val="single" w:color="222222" w:sz="6" w:space="0"/>
              <w:left w:val="single" w:color="222222" w:sz="6" w:space="0"/>
              <w:bottom w:val="single" w:color="222222" w:sz="6" w:space="0"/>
              <w:right w:val="single" w:color="222222" w:sz="6" w:space="0"/>
            </w:tcBorders>
          </w:tcPr>
          <w:p w14:paraId="5E9B9FE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10000</w:t>
            </w:r>
          </w:p>
        </w:tc>
        <w:tc>
          <w:tcPr>
            <w:tcBorders>
              <w:top w:val="single" w:color="222222" w:sz="6" w:space="0"/>
              <w:left w:val="single" w:color="222222" w:sz="6" w:space="0"/>
              <w:bottom w:val="single" w:color="222222" w:sz="6" w:space="0"/>
              <w:right w:val="single" w:color="222222" w:sz="6" w:space="0"/>
            </w:tcBorders>
          </w:tcPr>
          <w:p w14:paraId="48708DA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570D148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16.1%</w:t>
            </w:r>
          </w:p>
        </w:tc>
        <w:tc>
          <w:tcPr>
            <w:tcBorders>
              <w:top w:val="single" w:color="222222" w:sz="6" w:space="0"/>
              <w:left w:val="single" w:color="222222" w:sz="6" w:space="0"/>
              <w:bottom w:val="single" w:color="222222" w:sz="6" w:space="0"/>
              <w:right w:val="single" w:color="222222" w:sz="6" w:space="0"/>
            </w:tcBorders>
          </w:tcPr>
          <w:p w14:paraId="02EEFAE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企业"上云用数赋智"推进</w:t>
            </w:r>
          </w:p>
        </w:tc>
        <w:tc>
          <w:tcPr>
            <w:tcBorders>
              <w:top w:val="single" w:color="222222" w:sz="6" w:space="0"/>
              <w:left w:val="single" w:color="222222" w:sz="6" w:space="0"/>
              <w:bottom w:val="single" w:color="222222" w:sz="6" w:space="0"/>
              <w:right w:val="single" w:color="222222" w:sz="6" w:space="0"/>
            </w:tcBorders>
          </w:tcPr>
          <w:p w14:paraId="410FE8E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华为、阿里云</w:t>
            </w:r>
          </w:p>
        </w:tc>
        <w:tc>
          <w:tcPr>
            <w:tcBorders>
              <w:top w:val="single" w:color="222222" w:sz="6" w:space="0"/>
              <w:left w:val="single" w:color="222222" w:sz="6" w:space="0"/>
              <w:bottom w:val="single" w:color="222222" w:sz="6" w:space="0"/>
              <w:right w:val="single" w:color="222222" w:sz="6" w:space="0"/>
            </w:tcBorders>
          </w:tcPr>
          <w:p w14:paraId="56BFF13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数字化转型政策支持</w:t>
            </w:r>
          </w:p>
        </w:tc>
      </w:tr>
      <w:tr w14:paraId="34D25364">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0CA679A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云计算</w:t>
            </w:r>
          </w:p>
        </w:tc>
        <w:tc>
          <w:tcPr>
            <w:tcBorders>
              <w:top w:val="single" w:color="222222" w:sz="6" w:space="0"/>
              <w:left w:val="single" w:color="222222" w:sz="6" w:space="0"/>
              <w:bottom w:val="single" w:color="222222" w:sz="6" w:space="0"/>
              <w:right w:val="single" w:color="222222" w:sz="6" w:space="0"/>
            </w:tcBorders>
          </w:tcPr>
          <w:p w14:paraId="02C1FDB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75C630C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2E9AF4C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w:t>
            </w:r>
          </w:p>
        </w:tc>
        <w:tc>
          <w:tcPr>
            <w:tcBorders>
              <w:top w:val="single" w:color="222222" w:sz="6" w:space="0"/>
              <w:left w:val="single" w:color="222222" w:sz="6" w:space="0"/>
              <w:bottom w:val="single" w:color="222222" w:sz="6" w:space="0"/>
              <w:right w:val="single" w:color="222222" w:sz="6" w:space="0"/>
            </w:tcBorders>
          </w:tcPr>
          <w:p w14:paraId="503E0FD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全球市场增速领先、技术成熟</w:t>
            </w:r>
          </w:p>
        </w:tc>
        <w:tc>
          <w:tcPr>
            <w:tcBorders>
              <w:top w:val="single" w:color="222222" w:sz="6" w:space="0"/>
              <w:left w:val="single" w:color="222222" w:sz="6" w:space="0"/>
              <w:bottom w:val="single" w:color="222222" w:sz="6" w:space="0"/>
              <w:right w:val="single" w:color="222222" w:sz="6" w:space="0"/>
            </w:tcBorders>
          </w:tcPr>
          <w:p w14:paraId="1E0A8B7D">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亚马逊云、腾讯云</w:t>
            </w:r>
          </w:p>
        </w:tc>
        <w:tc>
          <w:tcPr>
            <w:tcBorders>
              <w:top w:val="single" w:color="222222" w:sz="6" w:space="0"/>
              <w:left w:val="single" w:color="222222" w:sz="6" w:space="0"/>
              <w:bottom w:val="single" w:color="222222" w:sz="6" w:space="0"/>
              <w:right w:val="single" w:color="222222" w:sz="6" w:space="0"/>
            </w:tcBorders>
          </w:tcPr>
          <w:p w14:paraId="757EAC1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新基建核心领域</w:t>
            </w:r>
          </w:p>
        </w:tc>
      </w:tr>
      <w:tr w14:paraId="06908989">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3C19158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影视特效</w:t>
            </w:r>
          </w:p>
        </w:tc>
        <w:tc>
          <w:tcPr>
            <w:tcBorders>
              <w:top w:val="single" w:color="222222" w:sz="6" w:space="0"/>
              <w:left w:val="single" w:color="222222" w:sz="6" w:space="0"/>
              <w:bottom w:val="single" w:color="222222" w:sz="6" w:space="0"/>
              <w:right w:val="single" w:color="222222" w:sz="6" w:space="0"/>
            </w:tcBorders>
          </w:tcPr>
          <w:p w14:paraId="08CD511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7DDADDD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3C25927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576EE84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技术团队数量十年增长20倍</w:t>
            </w:r>
          </w:p>
        </w:tc>
        <w:tc>
          <w:tcPr>
            <w:tcBorders>
              <w:top w:val="single" w:color="222222" w:sz="6" w:space="0"/>
              <w:left w:val="single" w:color="222222" w:sz="6" w:space="0"/>
              <w:bottom w:val="single" w:color="222222" w:sz="6" w:space="0"/>
              <w:right w:val="single" w:color="222222" w:sz="6" w:space="0"/>
            </w:tcBorders>
          </w:tcPr>
          <w:p w14:paraId="175FCEE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光线传媒、Base FX</w:t>
            </w:r>
          </w:p>
        </w:tc>
        <w:tc>
          <w:tcPr>
            <w:tcBorders>
              <w:top w:val="single" w:color="222222" w:sz="6" w:space="0"/>
              <w:left w:val="single" w:color="222222" w:sz="6" w:space="0"/>
              <w:bottom w:val="single" w:color="222222" w:sz="6" w:space="0"/>
              <w:right w:val="single" w:color="222222" w:sz="6" w:space="0"/>
            </w:tcBorders>
          </w:tcPr>
          <w:p w14:paraId="25A2662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文化科技融合专项</w:t>
            </w:r>
          </w:p>
        </w:tc>
      </w:tr>
      <w:tr w14:paraId="27B224AE">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34A5D57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社交媒体广告</w:t>
            </w:r>
          </w:p>
        </w:tc>
        <w:tc>
          <w:tcPr>
            <w:tcBorders>
              <w:top w:val="single" w:color="222222" w:sz="6" w:space="0"/>
              <w:left w:val="single" w:color="222222" w:sz="6" w:space="0"/>
              <w:bottom w:val="single" w:color="222222" w:sz="6" w:space="0"/>
              <w:right w:val="single" w:color="222222" w:sz="6" w:space="0"/>
            </w:tcBorders>
          </w:tcPr>
          <w:p w14:paraId="6B2267A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2AA457C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_</w:t>
            </w:r>
          </w:p>
        </w:tc>
        <w:tc>
          <w:tcPr>
            <w:tcBorders>
              <w:top w:val="single" w:color="222222" w:sz="6" w:space="0"/>
              <w:left w:val="single" w:color="222222" w:sz="6" w:space="0"/>
              <w:bottom w:val="single" w:color="222222" w:sz="6" w:space="0"/>
              <w:right w:val="single" w:color="222222" w:sz="6" w:space="0"/>
            </w:tcBorders>
          </w:tcPr>
          <w:p w14:paraId="521F4D8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w:t>
            </w:r>
          </w:p>
        </w:tc>
        <w:tc>
          <w:tcPr>
            <w:tcBorders>
              <w:top w:val="single" w:color="222222" w:sz="6" w:space="0"/>
              <w:left w:val="single" w:color="222222" w:sz="6" w:space="0"/>
              <w:bottom w:val="single" w:color="222222" w:sz="6" w:space="0"/>
              <w:right w:val="single" w:color="222222" w:sz="6" w:space="0"/>
            </w:tcBorders>
          </w:tcPr>
          <w:p w14:paraId="6753A69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广告支出超传统媒体总和</w:t>
            </w:r>
          </w:p>
        </w:tc>
        <w:tc>
          <w:tcPr>
            <w:tcBorders>
              <w:top w:val="single" w:color="222222" w:sz="6" w:space="0"/>
              <w:left w:val="single" w:color="222222" w:sz="6" w:space="0"/>
              <w:bottom w:val="single" w:color="222222" w:sz="6" w:space="0"/>
              <w:right w:val="single" w:color="222222" w:sz="6" w:space="0"/>
            </w:tcBorders>
          </w:tcPr>
          <w:p w14:paraId="5572EA7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微博、微信</w:t>
            </w:r>
          </w:p>
        </w:tc>
        <w:tc>
          <w:tcPr>
            <w:tcBorders>
              <w:top w:val="single" w:color="222222" w:sz="6" w:space="0"/>
              <w:left w:val="single" w:color="222222" w:sz="6" w:space="0"/>
              <w:bottom w:val="single" w:color="222222" w:sz="6" w:space="0"/>
              <w:right w:val="single" w:color="222222" w:sz="6" w:space="0"/>
            </w:tcBorders>
          </w:tcPr>
          <w:p w14:paraId="1C73105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数字经济基础设施扶持</w:t>
            </w:r>
          </w:p>
        </w:tc>
      </w:tr>
    </w:tbl>
    <w:p w14:paraId="4669A005">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行业结构的变化还体现在技术融合带来的新业态涌现。5G、人工智能、元宇宙等技术的深度融合，正在重塑数字媒体行业的生产方式和消费模式。从传统的单向传播转变为互动式、沉浸式体验，这种结构性的变革不仅拓展了行业的边界，也为从业者带来了新的发展机遇。特别是在县域市场，直播电商的快速崛起，显示出数字媒体行业正在向更广阔的地域和人群渗透。</w:t>
      </w:r>
    </w:p>
    <w:p w14:paraId="056703B6">
      <w:pPr>
        <w:pStyle w:val="4"/>
        <w:numPr>
          <w:ilvl w:val="0"/>
          <w:numId w:val="5"/>
        </w:numPr>
        <w:bidi w:val="0"/>
        <w:ind w:left="425" w:leftChars="0" w:hanging="425" w:firstLineChars="0"/>
        <w:rPr>
          <w:rFonts w:hint="eastAsia"/>
        </w:rPr>
      </w:pPr>
      <w:r>
        <w:rPr>
          <w:rFonts w:hint="eastAsia"/>
        </w:rPr>
        <w:t>技术创新与产业升级趋势研判</w:t>
      </w:r>
    </w:p>
    <w:p w14:paraId="369D754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创新是推动数字媒体行业发展的核心驱动力。当前，行业正经历着从技术应用到技术创新的深刻转变。在底层技术方面，5G网络的普及为高清视频传输、云端渲染等应用提供了基础支撑；人工智能技术在内容生产、分发等环节的深度应用，大幅提升了行业运营效率；而元宇宙概念的落地，则为数字媒体行业开辟了新的发展空间。</w:t>
      </w:r>
    </w:p>
    <w:p w14:paraId="406736B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从具体技术应用来看，短视频平台的算法推荐技术已经相当成熟，能够实现内容的精准匹配和个性化推送；虚拟现实技术从2017年的104.6亿元增长至2023年的1035.9亿元，复合增长率达46.54%，这种高速增长得益于硬件设备的改进和内容生态的完善。特别是在影视特效领域，技术的进步使得制作成本大幅降低，而效果却不断提升，这为行业创造了更大的价值空间。</w:t>
      </w:r>
    </w:p>
    <w:p w14:paraId="28C08F05">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业升级趋势主要体现在三个方面：首先是生产方式的智能化升级，通过AI辅助创作、云端协作等模式，大幅提升内容生产效率；其次是消费体验的沉浸式升级，VR/AR、全景视频等技术为用户带来更丰富的感官体验；最后是商业模式的创新升级，从单一的广告模式向内容付费、电商带货、虚拟商品等多元化盈利模式转变。</w:t>
      </w:r>
    </w:p>
    <w:p w14:paraId="244C450D">
      <w:pPr>
        <w:pageBreakBefore w:val="0"/>
        <w:widowControl/>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drawing>
          <wp:anchor distT="0" distB="0" distL="0" distR="0" simplePos="0" relativeHeight="251661312" behindDoc="0" locked="0" layoutInCell="1" allowOverlap="1">
            <wp:simplePos x="0" y="0"/>
            <wp:positionH relativeFrom="column">
              <wp:posOffset>0</wp:posOffset>
            </wp:positionH>
            <wp:positionV relativeFrom="paragraph">
              <wp:posOffset>-2853055</wp:posOffset>
            </wp:positionV>
            <wp:extent cx="5274310" cy="3076575"/>
            <wp:effectExtent l="0" t="0" r="0" b="0"/>
            <wp:wrapTopAndBottom/>
            <wp:docPr id="2" name="11" descr="aa"/>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1FFE76D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未来技术发展趋势方面，实时渲染技术、云游戏、AIGC（人工智能生成内容）等新兴技术将成为行业关注的重点。特别是AIGC技术的发展，正在改变传统的内容生产方式，在文本生成、图像创作、视频制作等领域展现出巨大潜力。同时，区块链技术在数字版权保护、数字资产交易等方面的应用，也为行业健康发展提供了技术保障。</w:t>
      </w:r>
    </w:p>
    <w:p w14:paraId="537157B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业升级还体现在产业链的整合与重构上。传统的内容生产、分发、消费环节界限逐渐模糊，平台型企业和内容创作者之间的关系正在重新定义。这种产业结构的优化升级，不仅提高了资源配置效率，也创造了更多的就业机会和商业价值。</w:t>
      </w:r>
    </w:p>
    <w:p w14:paraId="768BD63A">
      <w:pPr>
        <w:pStyle w:val="4"/>
        <w:numPr>
          <w:ilvl w:val="0"/>
          <w:numId w:val="5"/>
        </w:numPr>
        <w:bidi w:val="0"/>
        <w:ind w:left="425" w:leftChars="0" w:hanging="425" w:firstLineChars="0"/>
        <w:rPr>
          <w:rFonts w:hint="eastAsia"/>
        </w:rPr>
      </w:pPr>
      <w:r>
        <w:rPr>
          <w:rFonts w:hint="eastAsia"/>
        </w:rPr>
        <w:t>政策环境对行业发展的影响评估</w:t>
      </w:r>
    </w:p>
    <w:p w14:paraId="09F543C8">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政策环境在数字媒体行业发展过程中发挥着重要的引导和规范作用。近年来，国家层面出台了一系列支持数字经济发展的政策文件，为行业创造了良好的发展环境。"十四五"规划明确将数字创意产业列为战略性新兴产业，各地政府也相继推出配套措施，从资金支持、人才培养、基础设施建设等多个维度推动行业发展。</w:t>
      </w:r>
    </w:p>
    <w:p w14:paraId="561CC12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产业政策方面，国家深入推进企业"上云用数赋智"战略，加快产业数字化转型进程。这一政策导向直接促进了云计算、大数据等技术在数字媒体领域的应用，推动了行业的技术升级和模式创新。特别是在工业互联网领域，政策支持使得相关产业规模快速突破万亿元大关，为数字媒体技术与实体经济的深度融合创造了条件。</w:t>
      </w:r>
    </w:p>
    <w:p w14:paraId="23E3EC6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文化政策层面，国家加大对元宇宙、文化数字化等领域的政策倾斜，为行业创新发展提供了有力支撑。各地方政府的文化产业发展专项资金、税收优惠等措施，有效降低了企业的运营成本，激发了市场活力。同时，版权保护政策的完善也为数字内容产业的健康发展提供了法律保障。</w:t>
      </w:r>
    </w:p>
    <w:p w14:paraId="5330C5D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监管政策的完善对行业规范发展同样重要。随着《网络安全法》、《数据安全法》等法律法规的实施，数字媒体行业在数据采集、内容审核、隐私保护等方面的行为得到规范，这有利于建立健康有序的市场环境。特别是在未成年人保护、内容生态治理等方面，相关政策引导行业走向更加可持续的发展道路。</w:t>
      </w:r>
    </w:p>
    <w:p w14:paraId="6FFF20FF">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从政策效果来看，良好的政策环境显著促进了数字媒体行业的创新发展。以VR/AR产业为例，在政策支持下，产业规模实现快速增长，应用场景不断拓展。同样，在数字内容制作领域，政策红利推动了一批创新型企业的成长，促进了行业整体水平的提升。</w:t>
      </w:r>
    </w:p>
    <w:p w14:paraId="0EB57D8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未来政策环境的发展趋势将更加注重创新与规范的平衡。一方面，政府将继续鼓励技术创新和业态创新，为行业发展提供空间；另一方面，将加强行业监管，确保行业健康有序发展。这种政策导向要求行业参与者既要把握发展机遇，也要重视合规经营，从而实现可持续发展。</w:t>
      </w:r>
    </w:p>
    <w:p w14:paraId="54591161">
      <w:pPr>
        <w:pStyle w:val="3"/>
        <w:numPr>
          <w:ilvl w:val="0"/>
          <w:numId w:val="3"/>
        </w:numPr>
        <w:bidi w:val="0"/>
        <w:ind w:left="-420" w:leftChars="0" w:firstLine="420" w:firstLineChars="0"/>
        <w:rPr>
          <w:rFonts w:hint="eastAsia"/>
        </w:rPr>
      </w:pPr>
      <w:bookmarkStart w:id="7" w:name="_Toc3211"/>
      <w:r>
        <w:rPr>
          <w:rFonts w:hint="eastAsia"/>
        </w:rPr>
        <w:t>职业岗位群与岗位能力分析</w:t>
      </w:r>
      <w:bookmarkEnd w:id="7"/>
    </w:p>
    <w:p w14:paraId="74F384F7">
      <w:pPr>
        <w:pStyle w:val="4"/>
        <w:numPr>
          <w:ilvl w:val="0"/>
          <w:numId w:val="6"/>
        </w:numPr>
        <w:bidi w:val="0"/>
        <w:ind w:left="425" w:leftChars="0" w:hanging="425" w:firstLineChars="0"/>
        <w:rPr>
          <w:rFonts w:hint="eastAsia"/>
        </w:rPr>
      </w:pPr>
      <w:r>
        <w:rPr>
          <w:rFonts w:hint="eastAsia"/>
        </w:rPr>
        <w:t>适合毕业生的主要职业岗位群识别</w:t>
      </w:r>
    </w:p>
    <w:p w14:paraId="416D0BC5">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基于行业调研和岗位需求分析，数字媒体专业大专学历毕业生主要面向三大职业岗位群：技术实现类岗位群、创意设计类岗位群和运营管理类岗位群。这三大岗位群涵盖了数字媒体产业链的各个环节，为毕业生提供了多元化的职业发展路径。</w:t>
      </w:r>
    </w:p>
    <w:p w14:paraId="73F11E6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实现类岗位群主要包括交互逻辑调整工程师、云游戏开发工程师、前端开发工程师和虚拟现实开发工程师等职位。这类岗位要求学生具备扎实的编程基础和技术实现能力，能够胜任系统开发、技术优化等专业性较强的工作。随着5G技术和云计算的发展，这类岗位的技术要求正在从单一技能向复合型技能转变。</w:t>
      </w:r>
    </w:p>
    <w:p w14:paraId="049E1FB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创意设计类岗位群包括三维建模师、特效合成师、数字三维场景设计师、MG动画师等具体职位。这类岗位强调艺术素养与数字技术的结合，要求从业者既具备良好的审美能力，又熟练掌握专业软件操作技能。特别是在影视特效制作、游戏美术设计等领域，对毕业生的创意表达能力和技术实现能力提出了较高要求。</w:t>
      </w:r>
    </w:p>
    <w:p w14:paraId="657DB77F">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运营管理类岗位群涵盖短视频内容策划、数据分析师、数字资产管理员等新兴职位。这类岗位侧重于内容运营、用户行为分析和数字资产价值评估，需要从业者具备市场洞察力和数据分析能力。随着数字媒体行业的成熟，这类岗位的重要性日益凸显，为毕业生提供了从技术执行向管理决策发展的职业通道。</w:t>
      </w:r>
    </w:p>
    <w:p w14:paraId="4CB1ECB5">
      <w:pPr>
        <w:pStyle w:val="4"/>
        <w:numPr>
          <w:ilvl w:val="0"/>
          <w:numId w:val="6"/>
        </w:numPr>
        <w:bidi w:val="0"/>
        <w:ind w:left="425" w:leftChars="0" w:hanging="425" w:firstLineChars="0"/>
        <w:rPr>
          <w:rFonts w:hint="eastAsia"/>
        </w:rPr>
      </w:pPr>
      <w:r>
        <w:rPr>
          <w:rFonts w:hint="eastAsia"/>
        </w:rPr>
        <w:t>各岗位核心职责与任职要求分析</w:t>
      </w:r>
    </w:p>
    <w:p w14:paraId="5201F6D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数字媒体专业对应的职业岗位具有明显的专业化特征，不同岗位的核心职责和任职要求存在显著差异。以下是主要岗位的详细分析：</w:t>
      </w:r>
    </w:p>
    <w:p w14:paraId="6416D3C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交互逻辑调整工程师主要负责解决系统架构升级过程中的数据兼容性问题，特别是在新能源汽车数字座舱、智能家居控制界面等复杂系统中发挥关键作用。任职要求包括掌握分布式系统设计原理，熟悉数据迁移和系统集成技术，具备较强的问题分析和解决能力。该岗位需要从业者持续关注新技术发展，及时更新知识结构。</w:t>
      </w:r>
    </w:p>
    <w:p w14:paraId="26E8748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维建模师的核心职责是使用Maya、3DMax等软件进行三维模型创建和优化，涉及角色建模、场景构建等多个方面。任职要求包括熟练掌握多边形建模、NURBS曲面建模等专业技术，具备良好的空间想象能力和艺术造型能力。随着实时渲染技术的发展，该岗位还要求掌握PBR材质制作和模型优化技能。</w:t>
      </w:r>
    </w:p>
    <w:p w14:paraId="2D86E52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云游戏开发工程师专注于基于5G网络的低延迟流媒体游戏开发，需要处理服务器负载均衡和画面串流等关键技术问题。任职要求包括精通WebRTC协议和分布式系统设计，熟悉AWS/Azure等云服务平台部署。该岗位对网络编程和图形渲染技术有较高要求，需要从业者具备扎实的计算机基础。</w:t>
      </w:r>
    </w:p>
    <w:p w14:paraId="7349AB4A">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MG动画制作师负责动态图形设计和动画效果制作，需要将平面设计元素转化为生动的动态视觉表现。任职要求包括掌握After Effects、Cinema 4D等软件的高级功能，具备良好的节奏感和动画原理知识，能够根据项目需求设计合理的动画效果。</w:t>
      </w:r>
    </w:p>
    <w:p w14:paraId="1790059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音视频处理技术工程师专注于数字音频和视频信号的采集、处理和优化工作。任职要求包括熟悉数字信号处理原理，掌握主流音视频编辑软件的操作技巧，具备良好的听觉和视觉敏感度。该岗位需要从业者了解不同格式的编码标准和技术特性。</w:t>
      </w:r>
    </w:p>
    <w:p w14:paraId="750F8BB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影视特效制作与合成师负责利用计算机图形学技术创建视觉特效，并将多个视觉元素合成为完整的画面。任职要求包括掌握节点式合成软件操作，了解物理模拟和粒子系统原理，具备较强的艺术审美能力和技术实现能力。</w:t>
      </w:r>
    </w:p>
    <w:p w14:paraId="0FBC1FD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前端开发工程师致力于创建用户友好的交互界面，需要平衡视觉设计和技术实现的要求。任职要求包括精通HTML/CSS/JavaScript等前端技术，熟悉React/Vue等框架的使用，了解用户体验设计原则和跨平台适配技术。</w:t>
      </w:r>
    </w:p>
    <w:tbl>
      <w:tblPr>
        <w:tblStyle w:val="13"/>
        <w:tblW w:w="5000" w:type="pct"/>
        <w:tblInd w:w="0" w:type="dxa"/>
        <w:tblLayout w:type="autofit"/>
        <w:tblCellMar>
          <w:top w:w="0" w:type="dxa"/>
          <w:left w:w="108" w:type="dxa"/>
          <w:bottom w:w="0" w:type="dxa"/>
          <w:right w:w="108" w:type="dxa"/>
        </w:tblCellMar>
      </w:tblPr>
      <w:tblGrid>
        <w:gridCol w:w="1386"/>
        <w:gridCol w:w="1383"/>
        <w:gridCol w:w="1699"/>
        <w:gridCol w:w="1545"/>
        <w:gridCol w:w="2509"/>
      </w:tblGrid>
      <w:tr w14:paraId="2F4429AD">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6CC17AF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岗位类别</w:t>
            </w:r>
          </w:p>
        </w:tc>
        <w:tc>
          <w:tcPr>
            <w:tcBorders>
              <w:top w:val="single" w:color="222222" w:sz="6" w:space="0"/>
              <w:left w:val="single" w:color="222222" w:sz="6" w:space="0"/>
              <w:bottom w:val="single" w:color="222222" w:sz="6" w:space="0"/>
              <w:right w:val="single" w:color="222222" w:sz="6" w:space="0"/>
            </w:tcBorders>
          </w:tcPr>
          <w:p w14:paraId="4949217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核心职责</w:t>
            </w:r>
          </w:p>
        </w:tc>
        <w:tc>
          <w:tcPr>
            <w:tcBorders>
              <w:top w:val="single" w:color="222222" w:sz="6" w:space="0"/>
              <w:left w:val="single" w:color="222222" w:sz="6" w:space="0"/>
              <w:bottom w:val="single" w:color="222222" w:sz="6" w:space="0"/>
              <w:right w:val="single" w:color="222222" w:sz="6" w:space="0"/>
            </w:tcBorders>
          </w:tcPr>
          <w:p w14:paraId="61D5788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专业技术要求</w:t>
            </w:r>
          </w:p>
        </w:tc>
        <w:tc>
          <w:tcPr>
            <w:tcBorders>
              <w:top w:val="single" w:color="222222" w:sz="6" w:space="0"/>
              <w:left w:val="single" w:color="222222" w:sz="6" w:space="0"/>
              <w:bottom w:val="single" w:color="222222" w:sz="6" w:space="0"/>
              <w:right w:val="single" w:color="222222" w:sz="6" w:space="0"/>
            </w:tcBorders>
          </w:tcPr>
          <w:p w14:paraId="3F28002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辅助技能要求</w:t>
            </w:r>
          </w:p>
        </w:tc>
        <w:tc>
          <w:tcPr>
            <w:tcBorders>
              <w:top w:val="single" w:color="222222" w:sz="6" w:space="0"/>
              <w:left w:val="single" w:color="222222" w:sz="6" w:space="0"/>
              <w:bottom w:val="single" w:color="222222" w:sz="6" w:space="0"/>
              <w:right w:val="single" w:color="222222" w:sz="6" w:space="0"/>
            </w:tcBorders>
          </w:tcPr>
          <w:p w14:paraId="35D60D9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典型工具/平台</w:t>
            </w:r>
          </w:p>
        </w:tc>
      </w:tr>
      <w:tr w14:paraId="37402F26">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9AF669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交互界面设计技术</w:t>
            </w:r>
          </w:p>
        </w:tc>
        <w:tc>
          <w:tcPr>
            <w:tcBorders>
              <w:top w:val="single" w:color="222222" w:sz="6" w:space="0"/>
              <w:left w:val="single" w:color="222222" w:sz="6" w:space="0"/>
              <w:bottom w:val="single" w:color="222222" w:sz="6" w:space="0"/>
              <w:right w:val="single" w:color="222222" w:sz="6" w:space="0"/>
            </w:tcBorders>
          </w:tcPr>
          <w:p w14:paraId="1FD4468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用户界面设计与交互逻辑优化</w:t>
            </w:r>
          </w:p>
        </w:tc>
        <w:tc>
          <w:tcPr>
            <w:tcBorders>
              <w:top w:val="single" w:color="222222" w:sz="6" w:space="0"/>
              <w:left w:val="single" w:color="222222" w:sz="6" w:space="0"/>
              <w:bottom w:val="single" w:color="222222" w:sz="6" w:space="0"/>
              <w:right w:val="single" w:color="222222" w:sz="6" w:space="0"/>
            </w:tcBorders>
          </w:tcPr>
          <w:p w14:paraId="7514A98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用户体验设计原理、交互设计模式</w:t>
            </w:r>
          </w:p>
        </w:tc>
        <w:tc>
          <w:tcPr>
            <w:tcBorders>
              <w:top w:val="single" w:color="222222" w:sz="6" w:space="0"/>
              <w:left w:val="single" w:color="222222" w:sz="6" w:space="0"/>
              <w:bottom w:val="single" w:color="222222" w:sz="6" w:space="0"/>
              <w:right w:val="single" w:color="222222" w:sz="6" w:space="0"/>
            </w:tcBorders>
          </w:tcPr>
          <w:p w14:paraId="66718ED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用户研究能力、原型测试能力</w:t>
            </w:r>
          </w:p>
        </w:tc>
        <w:tc>
          <w:tcPr>
            <w:tcBorders>
              <w:top w:val="single" w:color="222222" w:sz="6" w:space="0"/>
              <w:left w:val="single" w:color="222222" w:sz="6" w:space="0"/>
              <w:bottom w:val="single" w:color="222222" w:sz="6" w:space="0"/>
              <w:right w:val="single" w:color="222222" w:sz="6" w:space="0"/>
            </w:tcBorders>
          </w:tcPr>
          <w:p w14:paraId="52780DC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Figma、Sketch、Axure</w:t>
            </w:r>
          </w:p>
        </w:tc>
      </w:tr>
      <w:tr w14:paraId="58430772">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35594E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商业摄影与蓝绿屏拍摄技术</w:t>
            </w:r>
          </w:p>
        </w:tc>
        <w:tc>
          <w:tcPr>
            <w:tcBorders>
              <w:top w:val="single" w:color="222222" w:sz="6" w:space="0"/>
              <w:left w:val="single" w:color="222222" w:sz="6" w:space="0"/>
              <w:bottom w:val="single" w:color="222222" w:sz="6" w:space="0"/>
              <w:right w:val="single" w:color="222222" w:sz="6" w:space="0"/>
            </w:tcBorders>
          </w:tcPr>
          <w:p w14:paraId="49090AC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专业级影像采集与抠像处理</w:t>
            </w:r>
          </w:p>
        </w:tc>
        <w:tc>
          <w:tcPr>
            <w:tcBorders>
              <w:top w:val="single" w:color="222222" w:sz="6" w:space="0"/>
              <w:left w:val="single" w:color="222222" w:sz="6" w:space="0"/>
              <w:bottom w:val="single" w:color="222222" w:sz="6" w:space="0"/>
              <w:right w:val="single" w:color="222222" w:sz="6" w:space="0"/>
            </w:tcBorders>
          </w:tcPr>
          <w:p w14:paraId="665203C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摄影构图原理、灯光布置技巧</w:t>
            </w:r>
          </w:p>
        </w:tc>
        <w:tc>
          <w:tcPr>
            <w:tcBorders>
              <w:top w:val="single" w:color="222222" w:sz="6" w:space="0"/>
              <w:left w:val="single" w:color="222222" w:sz="6" w:space="0"/>
              <w:bottom w:val="single" w:color="222222" w:sz="6" w:space="0"/>
              <w:right w:val="single" w:color="222222" w:sz="6" w:space="0"/>
            </w:tcBorders>
          </w:tcPr>
          <w:p w14:paraId="0368F94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色彩管理知识、设备操作技能</w:t>
            </w:r>
          </w:p>
        </w:tc>
        <w:tc>
          <w:tcPr>
            <w:tcBorders>
              <w:top w:val="single" w:color="222222" w:sz="6" w:space="0"/>
              <w:left w:val="single" w:color="222222" w:sz="6" w:space="0"/>
              <w:bottom w:val="single" w:color="222222" w:sz="6" w:space="0"/>
              <w:right w:val="single" w:color="222222" w:sz="6" w:space="0"/>
            </w:tcBorders>
          </w:tcPr>
          <w:p w14:paraId="441F73D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Photoshop、DaVinci Resolve</w:t>
            </w:r>
          </w:p>
        </w:tc>
      </w:tr>
      <w:tr w14:paraId="26F538D0">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6473FE0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数字三维场景设计</w:t>
            </w:r>
          </w:p>
        </w:tc>
        <w:tc>
          <w:tcPr>
            <w:tcBorders>
              <w:top w:val="single" w:color="222222" w:sz="6" w:space="0"/>
              <w:left w:val="single" w:color="222222" w:sz="6" w:space="0"/>
              <w:bottom w:val="single" w:color="222222" w:sz="6" w:space="0"/>
              <w:right w:val="single" w:color="222222" w:sz="6" w:space="0"/>
            </w:tcBorders>
          </w:tcPr>
          <w:p w14:paraId="1468E78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虚拟场景建模与氛围营造</w:t>
            </w:r>
          </w:p>
        </w:tc>
        <w:tc>
          <w:tcPr>
            <w:tcBorders>
              <w:top w:val="single" w:color="222222" w:sz="6" w:space="0"/>
              <w:left w:val="single" w:color="222222" w:sz="6" w:space="0"/>
              <w:bottom w:val="single" w:color="222222" w:sz="6" w:space="0"/>
              <w:right w:val="single" w:color="222222" w:sz="6" w:space="0"/>
            </w:tcBorders>
          </w:tcPr>
          <w:p w14:paraId="1789436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三维空间构造、材质灯光设计</w:t>
            </w:r>
          </w:p>
        </w:tc>
        <w:tc>
          <w:tcPr>
            <w:tcBorders>
              <w:top w:val="single" w:color="222222" w:sz="6" w:space="0"/>
              <w:left w:val="single" w:color="222222" w:sz="6" w:space="0"/>
              <w:bottom w:val="single" w:color="222222" w:sz="6" w:space="0"/>
              <w:right w:val="single" w:color="222222" w:sz="6" w:space="0"/>
            </w:tcBorders>
          </w:tcPr>
          <w:p w14:paraId="307DC7D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建筑学基础、环境艺术素养</w:t>
            </w:r>
          </w:p>
        </w:tc>
        <w:tc>
          <w:tcPr>
            <w:tcBorders>
              <w:top w:val="single" w:color="222222" w:sz="6" w:space="0"/>
              <w:left w:val="single" w:color="222222" w:sz="6" w:space="0"/>
              <w:bottom w:val="single" w:color="222222" w:sz="6" w:space="0"/>
              <w:right w:val="single" w:color="222222" w:sz="6" w:space="0"/>
            </w:tcBorders>
          </w:tcPr>
          <w:p w14:paraId="1DD12DC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3ds Max、Blender、Unity</w:t>
            </w:r>
          </w:p>
        </w:tc>
      </w:tr>
      <w:tr w14:paraId="4AB65806">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F23575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MG动画制作技术</w:t>
            </w:r>
          </w:p>
        </w:tc>
        <w:tc>
          <w:tcPr>
            <w:tcBorders>
              <w:top w:val="single" w:color="222222" w:sz="6" w:space="0"/>
              <w:left w:val="single" w:color="222222" w:sz="6" w:space="0"/>
              <w:bottom w:val="single" w:color="222222" w:sz="6" w:space="0"/>
              <w:right w:val="single" w:color="222222" w:sz="6" w:space="0"/>
            </w:tcBorders>
          </w:tcPr>
          <w:p w14:paraId="78EED79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动态图形设计与动画效果制作</w:t>
            </w:r>
          </w:p>
        </w:tc>
        <w:tc>
          <w:tcPr>
            <w:tcBorders>
              <w:top w:val="single" w:color="222222" w:sz="6" w:space="0"/>
              <w:left w:val="single" w:color="222222" w:sz="6" w:space="0"/>
              <w:bottom w:val="single" w:color="222222" w:sz="6" w:space="0"/>
              <w:right w:val="single" w:color="222222" w:sz="6" w:space="0"/>
            </w:tcBorders>
          </w:tcPr>
          <w:p w14:paraId="4B93F53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运动规律、图形动态表现</w:t>
            </w:r>
          </w:p>
        </w:tc>
        <w:tc>
          <w:tcPr>
            <w:tcBorders>
              <w:top w:val="single" w:color="222222" w:sz="6" w:space="0"/>
              <w:left w:val="single" w:color="222222" w:sz="6" w:space="0"/>
              <w:bottom w:val="single" w:color="222222" w:sz="6" w:space="0"/>
              <w:right w:val="single" w:color="222222" w:sz="6" w:space="0"/>
            </w:tcBorders>
          </w:tcPr>
          <w:p w14:paraId="2395F11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平面设计基础、音画同步技巧</w:t>
            </w:r>
          </w:p>
        </w:tc>
        <w:tc>
          <w:tcPr>
            <w:tcBorders>
              <w:top w:val="single" w:color="222222" w:sz="6" w:space="0"/>
              <w:left w:val="single" w:color="222222" w:sz="6" w:space="0"/>
              <w:bottom w:val="single" w:color="222222" w:sz="6" w:space="0"/>
              <w:right w:val="single" w:color="222222" w:sz="6" w:space="0"/>
            </w:tcBorders>
          </w:tcPr>
          <w:p w14:paraId="534458A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After Effects、Cinema 4D</w:t>
            </w:r>
          </w:p>
        </w:tc>
      </w:tr>
      <w:tr w14:paraId="00471695">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6930788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音视频处理技术</w:t>
            </w:r>
          </w:p>
        </w:tc>
        <w:tc>
          <w:tcPr>
            <w:tcBorders>
              <w:top w:val="single" w:color="222222" w:sz="6" w:space="0"/>
              <w:left w:val="single" w:color="222222" w:sz="6" w:space="0"/>
              <w:bottom w:val="single" w:color="222222" w:sz="6" w:space="0"/>
              <w:right w:val="single" w:color="222222" w:sz="6" w:space="0"/>
            </w:tcBorders>
          </w:tcPr>
          <w:p w14:paraId="0CF1D31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数字音视频信号处理与优化</w:t>
            </w:r>
          </w:p>
        </w:tc>
        <w:tc>
          <w:tcPr>
            <w:tcBorders>
              <w:top w:val="single" w:color="222222" w:sz="6" w:space="0"/>
              <w:left w:val="single" w:color="222222" w:sz="6" w:space="0"/>
              <w:bottom w:val="single" w:color="222222" w:sz="6" w:space="0"/>
              <w:right w:val="single" w:color="222222" w:sz="6" w:space="0"/>
            </w:tcBorders>
          </w:tcPr>
          <w:p w14:paraId="70F963E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数字信号处理、编解码技术</w:t>
            </w:r>
          </w:p>
        </w:tc>
        <w:tc>
          <w:tcPr>
            <w:tcBorders>
              <w:top w:val="single" w:color="222222" w:sz="6" w:space="0"/>
              <w:left w:val="single" w:color="222222" w:sz="6" w:space="0"/>
              <w:bottom w:val="single" w:color="222222" w:sz="6" w:space="0"/>
              <w:right w:val="single" w:color="222222" w:sz="6" w:space="0"/>
            </w:tcBorders>
          </w:tcPr>
          <w:p w14:paraId="4B167FB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声学基础、色彩科学知识</w:t>
            </w:r>
          </w:p>
        </w:tc>
        <w:tc>
          <w:tcPr>
            <w:tcBorders>
              <w:top w:val="single" w:color="222222" w:sz="6" w:space="0"/>
              <w:left w:val="single" w:color="222222" w:sz="6" w:space="0"/>
              <w:bottom w:val="single" w:color="222222" w:sz="6" w:space="0"/>
              <w:right w:val="single" w:color="222222" w:sz="6" w:space="0"/>
            </w:tcBorders>
          </w:tcPr>
          <w:p w14:paraId="6330A60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Audition、Premiere、FFmpeg</w:t>
            </w:r>
          </w:p>
        </w:tc>
      </w:tr>
      <w:tr w14:paraId="2216802F">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8D9C0C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影视剪辑实训</w:t>
            </w:r>
          </w:p>
        </w:tc>
        <w:tc>
          <w:tcPr>
            <w:tcBorders>
              <w:top w:val="single" w:color="222222" w:sz="6" w:space="0"/>
              <w:left w:val="single" w:color="222222" w:sz="6" w:space="0"/>
              <w:bottom w:val="single" w:color="222222" w:sz="6" w:space="0"/>
              <w:right w:val="single" w:color="222222" w:sz="6" w:space="0"/>
            </w:tcBorders>
          </w:tcPr>
          <w:p w14:paraId="49FF4CC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影视素材剪辑与叙事结构构建</w:t>
            </w:r>
          </w:p>
        </w:tc>
        <w:tc>
          <w:tcPr>
            <w:tcBorders>
              <w:top w:val="single" w:color="222222" w:sz="6" w:space="0"/>
              <w:left w:val="single" w:color="222222" w:sz="6" w:space="0"/>
              <w:bottom w:val="single" w:color="222222" w:sz="6" w:space="0"/>
              <w:right w:val="single" w:color="222222" w:sz="6" w:space="0"/>
            </w:tcBorders>
          </w:tcPr>
          <w:p w14:paraId="0C4E524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剪辑理论、叙事节奏控制</w:t>
            </w:r>
          </w:p>
        </w:tc>
        <w:tc>
          <w:tcPr>
            <w:tcBorders>
              <w:top w:val="single" w:color="222222" w:sz="6" w:space="0"/>
              <w:left w:val="single" w:color="222222" w:sz="6" w:space="0"/>
              <w:bottom w:val="single" w:color="222222" w:sz="6" w:space="0"/>
              <w:right w:val="single" w:color="222222" w:sz="6" w:space="0"/>
            </w:tcBorders>
          </w:tcPr>
          <w:p w14:paraId="2514D55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剧本分析能力、音乐感知能力</w:t>
            </w:r>
          </w:p>
        </w:tc>
        <w:tc>
          <w:tcPr>
            <w:tcBorders>
              <w:top w:val="single" w:color="222222" w:sz="6" w:space="0"/>
              <w:left w:val="single" w:color="222222" w:sz="6" w:space="0"/>
              <w:bottom w:val="single" w:color="222222" w:sz="6" w:space="0"/>
              <w:right w:val="single" w:color="222222" w:sz="6" w:space="0"/>
            </w:tcBorders>
          </w:tcPr>
          <w:p w14:paraId="6772ADB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Premiere、Final Cut Pro</w:t>
            </w:r>
          </w:p>
        </w:tc>
      </w:tr>
      <w:tr w14:paraId="6EBC5CDA">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1BE7C0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影视特效制作与合成</w:t>
            </w:r>
          </w:p>
        </w:tc>
        <w:tc>
          <w:tcPr>
            <w:tcBorders>
              <w:top w:val="single" w:color="222222" w:sz="6" w:space="0"/>
              <w:left w:val="single" w:color="222222" w:sz="6" w:space="0"/>
              <w:bottom w:val="single" w:color="222222" w:sz="6" w:space="0"/>
              <w:right w:val="single" w:color="222222" w:sz="6" w:space="0"/>
            </w:tcBorders>
          </w:tcPr>
          <w:p w14:paraId="4AB692C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视觉特效创建与多元素合成</w:t>
            </w:r>
          </w:p>
        </w:tc>
        <w:tc>
          <w:tcPr>
            <w:tcBorders>
              <w:top w:val="single" w:color="222222" w:sz="6" w:space="0"/>
              <w:left w:val="single" w:color="222222" w:sz="6" w:space="0"/>
              <w:bottom w:val="single" w:color="222222" w:sz="6" w:space="0"/>
              <w:right w:val="single" w:color="222222" w:sz="6" w:space="0"/>
            </w:tcBorders>
          </w:tcPr>
          <w:p w14:paraId="02BE1D2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粒子系统、物理模拟技术</w:t>
            </w:r>
          </w:p>
        </w:tc>
        <w:tc>
          <w:tcPr>
            <w:tcBorders>
              <w:top w:val="single" w:color="222222" w:sz="6" w:space="0"/>
              <w:left w:val="single" w:color="222222" w:sz="6" w:space="0"/>
              <w:bottom w:val="single" w:color="222222" w:sz="6" w:space="0"/>
              <w:right w:val="single" w:color="222222" w:sz="6" w:space="0"/>
            </w:tcBorders>
          </w:tcPr>
          <w:p w14:paraId="1C44DA5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摄影知识、光学原理理解</w:t>
            </w:r>
          </w:p>
        </w:tc>
        <w:tc>
          <w:tcPr>
            <w:tcBorders>
              <w:top w:val="single" w:color="222222" w:sz="6" w:space="0"/>
              <w:left w:val="single" w:color="222222" w:sz="6" w:space="0"/>
              <w:bottom w:val="single" w:color="222222" w:sz="6" w:space="0"/>
              <w:right w:val="single" w:color="222222" w:sz="6" w:space="0"/>
            </w:tcBorders>
          </w:tcPr>
          <w:p w14:paraId="4E9E9D4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Nuke、After Effects</w:t>
            </w:r>
          </w:p>
        </w:tc>
      </w:tr>
      <w:tr w14:paraId="2211E6F8">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736AA21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数字三维角色设计</w:t>
            </w:r>
          </w:p>
        </w:tc>
        <w:tc>
          <w:tcPr>
            <w:tcBorders>
              <w:top w:val="single" w:color="222222" w:sz="6" w:space="0"/>
              <w:left w:val="single" w:color="222222" w:sz="6" w:space="0"/>
              <w:bottom w:val="single" w:color="222222" w:sz="6" w:space="0"/>
              <w:right w:val="single" w:color="222222" w:sz="6" w:space="0"/>
            </w:tcBorders>
          </w:tcPr>
          <w:p w14:paraId="3BDF993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角色建模与表情动作设计</w:t>
            </w:r>
          </w:p>
        </w:tc>
        <w:tc>
          <w:tcPr>
            <w:tcBorders>
              <w:top w:val="single" w:color="222222" w:sz="6" w:space="0"/>
              <w:left w:val="single" w:color="222222" w:sz="6" w:space="0"/>
              <w:bottom w:val="single" w:color="222222" w:sz="6" w:space="0"/>
              <w:right w:val="single" w:color="222222" w:sz="6" w:space="0"/>
            </w:tcBorders>
          </w:tcPr>
          <w:p w14:paraId="7C882A0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人体解剖学、运动规律</w:t>
            </w:r>
          </w:p>
        </w:tc>
        <w:tc>
          <w:tcPr>
            <w:tcBorders>
              <w:top w:val="single" w:color="222222" w:sz="6" w:space="0"/>
              <w:left w:val="single" w:color="222222" w:sz="6" w:space="0"/>
              <w:bottom w:val="single" w:color="222222" w:sz="6" w:space="0"/>
              <w:right w:val="single" w:color="222222" w:sz="6" w:space="0"/>
            </w:tcBorders>
          </w:tcPr>
          <w:p w14:paraId="14C0F24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绘画基础、角色设定能力</w:t>
            </w:r>
          </w:p>
        </w:tc>
        <w:tc>
          <w:tcPr>
            <w:tcBorders>
              <w:top w:val="single" w:color="222222" w:sz="6" w:space="0"/>
              <w:left w:val="single" w:color="222222" w:sz="6" w:space="0"/>
              <w:bottom w:val="single" w:color="222222" w:sz="6" w:space="0"/>
              <w:right w:val="single" w:color="222222" w:sz="6" w:space="0"/>
            </w:tcBorders>
          </w:tcPr>
          <w:p w14:paraId="2CDFE65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ZBrush、Maya、Marvelous Designer</w:t>
            </w:r>
          </w:p>
        </w:tc>
      </w:tr>
      <w:tr w14:paraId="188ED4AE">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FCB1BC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光影与质感表现技术</w:t>
            </w:r>
          </w:p>
        </w:tc>
        <w:tc>
          <w:tcPr>
            <w:tcBorders>
              <w:top w:val="single" w:color="222222" w:sz="6" w:space="0"/>
              <w:left w:val="single" w:color="222222" w:sz="6" w:space="0"/>
              <w:bottom w:val="single" w:color="222222" w:sz="6" w:space="0"/>
              <w:right w:val="single" w:color="222222" w:sz="6" w:space="0"/>
            </w:tcBorders>
          </w:tcPr>
          <w:p w14:paraId="473AA43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材质渲染与光影效果设计</w:t>
            </w:r>
          </w:p>
        </w:tc>
        <w:tc>
          <w:tcPr>
            <w:tcBorders>
              <w:top w:val="single" w:color="222222" w:sz="6" w:space="0"/>
              <w:left w:val="single" w:color="222222" w:sz="6" w:space="0"/>
              <w:bottom w:val="single" w:color="222222" w:sz="6" w:space="0"/>
              <w:right w:val="single" w:color="222222" w:sz="6" w:space="0"/>
            </w:tcBorders>
          </w:tcPr>
          <w:p w14:paraId="69AFFFD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渲染算法、材质着色原理</w:t>
            </w:r>
          </w:p>
        </w:tc>
        <w:tc>
          <w:tcPr>
            <w:tcBorders>
              <w:top w:val="single" w:color="222222" w:sz="6" w:space="0"/>
              <w:left w:val="single" w:color="222222" w:sz="6" w:space="0"/>
              <w:bottom w:val="single" w:color="222222" w:sz="6" w:space="0"/>
              <w:right w:val="single" w:color="222222" w:sz="6" w:space="0"/>
            </w:tcBorders>
          </w:tcPr>
          <w:p w14:paraId="18F9FDB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光学知识、纹理绘制技能</w:t>
            </w:r>
          </w:p>
        </w:tc>
        <w:tc>
          <w:tcPr>
            <w:tcBorders>
              <w:top w:val="single" w:color="222222" w:sz="6" w:space="0"/>
              <w:left w:val="single" w:color="222222" w:sz="6" w:space="0"/>
              <w:bottom w:val="single" w:color="222222" w:sz="6" w:space="0"/>
              <w:right w:val="single" w:color="222222" w:sz="6" w:space="0"/>
            </w:tcBorders>
          </w:tcPr>
          <w:p w14:paraId="566D1E8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V-Ray、Arnold、Substance Painter</w:t>
            </w:r>
          </w:p>
        </w:tc>
      </w:tr>
      <w:tr w14:paraId="40908FAC">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6E9F469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三维动画制作技术</w:t>
            </w:r>
          </w:p>
        </w:tc>
        <w:tc>
          <w:tcPr>
            <w:tcBorders>
              <w:top w:val="single" w:color="222222" w:sz="6" w:space="0"/>
              <w:left w:val="single" w:color="222222" w:sz="6" w:space="0"/>
              <w:bottom w:val="single" w:color="222222" w:sz="6" w:space="0"/>
              <w:right w:val="single" w:color="222222" w:sz="6" w:space="0"/>
            </w:tcBorders>
          </w:tcPr>
          <w:p w14:paraId="19D6822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三维角色动画制作与表演</w:t>
            </w:r>
          </w:p>
        </w:tc>
        <w:tc>
          <w:tcPr>
            <w:tcBorders>
              <w:top w:val="single" w:color="222222" w:sz="6" w:space="0"/>
              <w:left w:val="single" w:color="222222" w:sz="6" w:space="0"/>
              <w:bottom w:val="single" w:color="222222" w:sz="6" w:space="0"/>
              <w:right w:val="single" w:color="222222" w:sz="6" w:space="0"/>
            </w:tcBorders>
          </w:tcPr>
          <w:p w14:paraId="65F8BBF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动画原理、角色表演技巧</w:t>
            </w:r>
          </w:p>
        </w:tc>
        <w:tc>
          <w:tcPr>
            <w:tcBorders>
              <w:top w:val="single" w:color="222222" w:sz="6" w:space="0"/>
              <w:left w:val="single" w:color="222222" w:sz="6" w:space="0"/>
              <w:bottom w:val="single" w:color="222222" w:sz="6" w:space="0"/>
              <w:right w:val="single" w:color="222222" w:sz="6" w:space="0"/>
            </w:tcBorders>
          </w:tcPr>
          <w:p w14:paraId="7A5528F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戏剧理论基础、动作分析能力</w:t>
            </w:r>
          </w:p>
        </w:tc>
        <w:tc>
          <w:tcPr>
            <w:tcBorders>
              <w:top w:val="single" w:color="222222" w:sz="6" w:space="0"/>
              <w:left w:val="single" w:color="222222" w:sz="6" w:space="0"/>
              <w:bottom w:val="single" w:color="222222" w:sz="6" w:space="0"/>
              <w:right w:val="single" w:color="222222" w:sz="6" w:space="0"/>
            </w:tcBorders>
          </w:tcPr>
          <w:p w14:paraId="7424F9FD">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Maya、MotionBuilder</w:t>
            </w:r>
          </w:p>
        </w:tc>
      </w:tr>
      <w:tr w14:paraId="10646C8E">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08E3BC7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三维影视广告制作</w:t>
            </w:r>
          </w:p>
        </w:tc>
        <w:tc>
          <w:tcPr>
            <w:tcBorders>
              <w:top w:val="single" w:color="222222" w:sz="6" w:space="0"/>
              <w:left w:val="single" w:color="222222" w:sz="6" w:space="0"/>
              <w:bottom w:val="single" w:color="222222" w:sz="6" w:space="0"/>
              <w:right w:val="single" w:color="222222" w:sz="6" w:space="0"/>
            </w:tcBorders>
          </w:tcPr>
          <w:p w14:paraId="6C4F527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产品可视化与广告创意表现</w:t>
            </w:r>
          </w:p>
        </w:tc>
        <w:tc>
          <w:tcPr>
            <w:tcBorders>
              <w:top w:val="single" w:color="222222" w:sz="6" w:space="0"/>
              <w:left w:val="single" w:color="222222" w:sz="6" w:space="0"/>
              <w:bottom w:val="single" w:color="222222" w:sz="6" w:space="0"/>
              <w:right w:val="single" w:color="222222" w:sz="6" w:space="0"/>
            </w:tcBorders>
          </w:tcPr>
          <w:p w14:paraId="2255121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广告学原理、产品营销知识</w:t>
            </w:r>
          </w:p>
        </w:tc>
        <w:tc>
          <w:tcPr>
            <w:tcBorders>
              <w:top w:val="single" w:color="222222" w:sz="6" w:space="0"/>
              <w:left w:val="single" w:color="222222" w:sz="6" w:space="0"/>
              <w:bottom w:val="single" w:color="222222" w:sz="6" w:space="0"/>
              <w:right w:val="single" w:color="222222" w:sz="6" w:space="0"/>
            </w:tcBorders>
          </w:tcPr>
          <w:p w14:paraId="209ECC1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市场分析能力、创意策划能力</w:t>
            </w:r>
          </w:p>
        </w:tc>
        <w:tc>
          <w:tcPr>
            <w:tcBorders>
              <w:top w:val="single" w:color="222222" w:sz="6" w:space="0"/>
              <w:left w:val="single" w:color="222222" w:sz="6" w:space="0"/>
              <w:bottom w:val="single" w:color="222222" w:sz="6" w:space="0"/>
              <w:right w:val="single" w:color="222222" w:sz="6" w:space="0"/>
            </w:tcBorders>
          </w:tcPr>
          <w:p w14:paraId="07D2D48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C4D、Redshift</w:t>
            </w:r>
          </w:p>
        </w:tc>
      </w:tr>
      <w:tr w14:paraId="6AD859B2">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70CEBE63">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三维资产制作实训</w:t>
            </w:r>
          </w:p>
        </w:tc>
        <w:tc>
          <w:tcPr>
            <w:tcBorders>
              <w:top w:val="single" w:color="222222" w:sz="6" w:space="0"/>
              <w:left w:val="single" w:color="222222" w:sz="6" w:space="0"/>
              <w:bottom w:val="single" w:color="222222" w:sz="6" w:space="0"/>
              <w:right w:val="single" w:color="222222" w:sz="6" w:space="0"/>
            </w:tcBorders>
          </w:tcPr>
          <w:p w14:paraId="6D50707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数字资产创建与项目管理</w:t>
            </w:r>
          </w:p>
        </w:tc>
        <w:tc>
          <w:tcPr>
            <w:tcBorders>
              <w:top w:val="single" w:color="222222" w:sz="6" w:space="0"/>
              <w:left w:val="single" w:color="222222" w:sz="6" w:space="0"/>
              <w:bottom w:val="single" w:color="222222" w:sz="6" w:space="0"/>
              <w:right w:val="single" w:color="222222" w:sz="6" w:space="0"/>
            </w:tcBorders>
          </w:tcPr>
          <w:p w14:paraId="1F3A10A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资产标准化、流程优化</w:t>
            </w:r>
          </w:p>
        </w:tc>
        <w:tc>
          <w:tcPr>
            <w:tcBorders>
              <w:top w:val="single" w:color="222222" w:sz="6" w:space="0"/>
              <w:left w:val="single" w:color="222222" w:sz="6" w:space="0"/>
              <w:bottom w:val="single" w:color="222222" w:sz="6" w:space="0"/>
              <w:right w:val="single" w:color="222222" w:sz="6" w:space="0"/>
            </w:tcBorders>
          </w:tcPr>
          <w:p w14:paraId="3F73D12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团队协作能力、质量控制意识</w:t>
            </w:r>
          </w:p>
        </w:tc>
        <w:tc>
          <w:tcPr>
            <w:tcBorders>
              <w:top w:val="single" w:color="222222" w:sz="6" w:space="0"/>
              <w:left w:val="single" w:color="222222" w:sz="6" w:space="0"/>
              <w:bottom w:val="single" w:color="222222" w:sz="6" w:space="0"/>
              <w:right w:val="single" w:color="222222" w:sz="6" w:space="0"/>
            </w:tcBorders>
          </w:tcPr>
          <w:p w14:paraId="292E80A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Perforce、ShotGrid</w:t>
            </w:r>
          </w:p>
        </w:tc>
      </w:tr>
      <w:tr w14:paraId="6AA216DA">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225DC5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720全景拍摄与缝合技术</w:t>
            </w:r>
          </w:p>
        </w:tc>
        <w:tc>
          <w:tcPr>
            <w:tcBorders>
              <w:top w:val="single" w:color="222222" w:sz="6" w:space="0"/>
              <w:left w:val="single" w:color="222222" w:sz="6" w:space="0"/>
              <w:bottom w:val="single" w:color="222222" w:sz="6" w:space="0"/>
              <w:right w:val="single" w:color="222222" w:sz="6" w:space="0"/>
            </w:tcBorders>
          </w:tcPr>
          <w:p w14:paraId="243401A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全景影像采集与无缝拼接</w:t>
            </w:r>
          </w:p>
        </w:tc>
        <w:tc>
          <w:tcPr>
            <w:tcBorders>
              <w:top w:val="single" w:color="222222" w:sz="6" w:space="0"/>
              <w:left w:val="single" w:color="222222" w:sz="6" w:space="0"/>
              <w:bottom w:val="single" w:color="222222" w:sz="6" w:space="0"/>
              <w:right w:val="single" w:color="222222" w:sz="6" w:space="0"/>
            </w:tcBorders>
          </w:tcPr>
          <w:p w14:paraId="1051226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全景摄影技术、图像拼接算法</w:t>
            </w:r>
          </w:p>
        </w:tc>
        <w:tc>
          <w:tcPr>
            <w:tcBorders>
              <w:top w:val="single" w:color="222222" w:sz="6" w:space="0"/>
              <w:left w:val="single" w:color="222222" w:sz="6" w:space="0"/>
              <w:bottom w:val="single" w:color="222222" w:sz="6" w:space="0"/>
              <w:right w:val="single" w:color="222222" w:sz="6" w:space="0"/>
            </w:tcBorders>
          </w:tcPr>
          <w:p w14:paraId="10F91E4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空间感知能力、几何变换知识</w:t>
            </w:r>
          </w:p>
        </w:tc>
        <w:tc>
          <w:tcPr>
            <w:tcBorders>
              <w:top w:val="single" w:color="222222" w:sz="6" w:space="0"/>
              <w:left w:val="single" w:color="222222" w:sz="6" w:space="0"/>
              <w:bottom w:val="single" w:color="222222" w:sz="6" w:space="0"/>
              <w:right w:val="single" w:color="222222" w:sz="6" w:space="0"/>
            </w:tcBorders>
          </w:tcPr>
          <w:p w14:paraId="0180929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PTGui、Kolor Autopano</w:t>
            </w:r>
          </w:p>
        </w:tc>
      </w:tr>
    </w:tbl>
    <w:p w14:paraId="20305D08">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数据分析师负责收集和处理用户行为数据，为产品优化和内容策略提供数据支持。任职要求包括掌握SQL查询和Python数据分析技术，熟悉Google Analytics等分析工具的使用，具备良好的逻辑思维能力和业务理解能力。</w:t>
      </w:r>
    </w:p>
    <w:p w14:paraId="2ECA470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短视频内容策划专注于短视频平台的内容创作和运营策划，需要结合平台特性和用户偏好设计内容策略。任职要求包括熟悉短视频制作全流程，掌握平台算法规则，具备较强的创意策划能力和市场敏感度。</w:t>
      </w:r>
    </w:p>
    <w:p w14:paraId="2A2429A1">
      <w:pPr>
        <w:pStyle w:val="4"/>
        <w:numPr>
          <w:ilvl w:val="0"/>
          <w:numId w:val="6"/>
        </w:numPr>
        <w:bidi w:val="0"/>
        <w:ind w:left="425" w:leftChars="0" w:hanging="425" w:firstLineChars="0"/>
        <w:rPr>
          <w:rFonts w:hint="eastAsia"/>
        </w:rPr>
      </w:pPr>
      <w:r>
        <w:rPr>
          <w:rFonts w:hint="eastAsia"/>
        </w:rPr>
        <w:t>岗位能力需求的变化趋势预测</w:t>
      </w:r>
    </w:p>
    <w:p w14:paraId="19B1B85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数字媒体行业的快速发展推动了岗位能力需求的持续演变，主要体现在技术融合加速、技能要求多元化和终身学习常态化三个方面。</w:t>
      </w:r>
    </w:p>
    <w:p w14:paraId="2B886D1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融合加速趋势明显，单一技能岗位正在向复合型技能岗位转变。例如，传统的三维建模师岗位现在往往需要具备基本的编程能力，以便更好地与开发团队协作；而前端开发工程师也需要了解三维图形技术，以满足日益复杂的交互需求。这种技术融合要求从业者建立跨学科的知识体系，能够在不同技术领域之间建立联系和应用。</w:t>
      </w:r>
    </w:p>
    <w:p w14:paraId="52A382A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能要求多元化体现在岗位职责的扩展和细化上。随着数字媒体应用场景的不断丰富，新兴岗位如数字资产评估师、元宇宙场景构建师等对从业者的能力提出了更加多元的要求。这些岗位不仅需要专业技术能力，还要求具备市场分析、项目管理等辅助技能，形成了"T型人才"需求结构。</w:t>
      </w:r>
    </w:p>
    <w:p w14:paraId="2A76794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终身学习常态化成为行业共识。数字媒体技术的更新周期不断缩短，新技术、新工具层出不穷，要求从业者保持持续学习的状态。例如，AIGC工具的快速普及正在改变传统的内容创作流程，从业者需要及时掌握这些新工具的应用方法，才能保持职业竞争力。</w:t>
      </w:r>
    </w:p>
    <w:p w14:paraId="6DF2E53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跨界融合能力的重要性日益凸显。数字媒体行业与教育、医疗、制造等传统行业的融合不断深化，创造了大量新的应用场景和就业机会。这就要求从业者不仅掌握专业技术，还要具备行业知识理解和跨领域协作能力，能够将数字媒体技术应用到特定的行业场景中。</w:t>
      </w:r>
    </w:p>
    <w:p w14:paraId="736406F5">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远程协作和分布式工作模式的发展也对从业者的软技能提出了更高要求。沟通能力、项目管理能力和自我管理能力成为职业发展的重要支撑，特别是在跨国团队协作和远程项目管理的场景中，这些软技能往往与技术能力同等重要。</w:t>
      </w:r>
    </w:p>
    <w:p w14:paraId="5F6550BA">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综上所述，数字媒体专业的职业岗位正在经历深刻变革，未来的人才培养需要更加注重基础能力的夯实、跨界思维的培养和终身学习习惯的养成，以应对行业发展带来的挑战和机遇。</w:t>
      </w:r>
    </w:p>
    <w:p w14:paraId="027A483E">
      <w:pPr>
        <w:pStyle w:val="3"/>
        <w:numPr>
          <w:ilvl w:val="0"/>
          <w:numId w:val="3"/>
        </w:numPr>
        <w:bidi w:val="0"/>
        <w:ind w:left="-420" w:leftChars="0" w:firstLine="420" w:firstLineChars="0"/>
        <w:rPr>
          <w:rFonts w:hint="eastAsia"/>
        </w:rPr>
      </w:pPr>
      <w:bookmarkStart w:id="8" w:name="_Toc8612"/>
      <w:r>
        <w:rPr>
          <w:rFonts w:hint="eastAsia"/>
        </w:rPr>
        <w:t>知识技能与职业素养要求</w:t>
      </w:r>
      <w:bookmarkEnd w:id="8"/>
    </w:p>
    <w:p w14:paraId="6735D123">
      <w:pPr>
        <w:pStyle w:val="4"/>
        <w:numPr>
          <w:ilvl w:val="0"/>
          <w:numId w:val="7"/>
        </w:numPr>
        <w:bidi w:val="0"/>
        <w:ind w:left="425" w:leftChars="0" w:hanging="425" w:firstLineChars="0"/>
        <w:rPr>
          <w:rFonts w:hint="eastAsia"/>
        </w:rPr>
      </w:pPr>
      <w:r>
        <w:rPr>
          <w:rFonts w:hint="eastAsia"/>
        </w:rPr>
        <w:t>职业岗位对专业知识结构的要求</w:t>
      </w:r>
    </w:p>
    <w:p w14:paraId="3F2C0D0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专业作为技术与艺术高度融合的交叉学科，其职业岗位对专业知识结构提出了复合型、前沿性和系统性的要求。专业知识结构是支撑学生职业发展的理论基础，决定了其技术应用的上限和职业迁移的广度。根据调研，数字媒体行业岗位所需的知识结构可归纳为技术基础层、专业核心层和跨界拓展层三个层次。</w:t>
      </w:r>
    </w:p>
    <w:p w14:paraId="08F9DA35">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技术基础层，数学与计算机基础是数字媒体技术的根基。包括线性代数、概率统计在内的数学知识为三维图形变换、特效算法和数据处理提供理论支撑；计算机程序设计基础（如Python、C#）和数据结构知识则是交互逻辑实现、游戏引擎开发和工具脚本编写的必备能力。李亚（</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）指出，数智赋能背景下，高职数字媒体技术专业需加强底层技术课程设置，以应对技术迭代带来的挑战。</w:t>
      </w:r>
    </w:p>
    <w:p w14:paraId="1611AB4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专业核心层，不同细分领域对知识结构的要求呈现差异化特征。以交互界面设计技术为例，其知识核心包括用户体验原理、人机交互准则、视觉设计规范以及用户心理学基础；而数字三维场景设计则要求熟练掌握三维空间构成理论、材质与光影物理原理、建模拓扑学知识以及渲染引擎的工作机制。王馥（2016）通过对毕业生跟踪调查发现，行业对数字媒体人才的知识结构要求正从单一技能向“T型”结构转变，即既要有某一领域的深度专业知识，又要具备相关领域的广度知识。</w:t>
      </w:r>
    </w:p>
    <w:p w14:paraId="2D1E7AB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跨界拓展层，随着数字媒体与人工智能、虚拟现实、文化遗产等领域的深度融合，岗位知识结构需求也在不断扩展。例如，人工智能创意设计岗位需要掌握生成算法原理和机器学习基础；数字文化遗产保护岗位则需了解文物数字化标准和考古学基础知识。陈雅慧（2022）在研究中强调，数字媒体专业课程体系应保持动态更新，及时融入行业前沿知识，以培养适应未来发展的复合型人才。</w:t>
      </w:r>
    </w:p>
    <w:p w14:paraId="42B2550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下表系统对比了数字媒体专业13个细分领域的核心知识结构要求：</w:t>
      </w:r>
    </w:p>
    <w:tbl>
      <w:tblPr>
        <w:tblStyle w:val="13"/>
        <w:tblW w:w="5000" w:type="pct"/>
        <w:tblInd w:w="0" w:type="dxa"/>
        <w:tblLayout w:type="autofit"/>
        <w:tblCellMar>
          <w:top w:w="0" w:type="dxa"/>
          <w:left w:w="108" w:type="dxa"/>
          <w:bottom w:w="0" w:type="dxa"/>
          <w:right w:w="108" w:type="dxa"/>
        </w:tblCellMar>
      </w:tblPr>
      <w:tblGrid>
        <w:gridCol w:w="2367"/>
        <w:gridCol w:w="6155"/>
      </w:tblGrid>
      <w:tr w14:paraId="408BCD99">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7D51D1D3">
            <w:pPr>
              <w:pageBreakBefore w:val="0"/>
              <w:widowControl/>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细分领域</w:t>
            </w:r>
          </w:p>
        </w:tc>
        <w:tc>
          <w:tcPr>
            <w:tcBorders>
              <w:top w:val="single" w:color="222222" w:sz="6" w:space="0"/>
              <w:left w:val="single" w:color="222222" w:sz="6" w:space="0"/>
              <w:bottom w:val="single" w:color="222222" w:sz="6" w:space="0"/>
              <w:right w:val="single" w:color="222222" w:sz="6" w:space="0"/>
            </w:tcBorders>
          </w:tcPr>
          <w:p w14:paraId="2D6B196F">
            <w:pPr>
              <w:pageBreakBefore w:val="0"/>
              <w:widowControl/>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核心知识结构</w:t>
            </w:r>
          </w:p>
        </w:tc>
      </w:tr>
      <w:tr w14:paraId="5ED5DDE1">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96BE06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交互界面设计技术</w:t>
            </w:r>
          </w:p>
        </w:tc>
        <w:tc>
          <w:tcPr>
            <w:tcBorders>
              <w:top w:val="single" w:color="222222" w:sz="6" w:space="0"/>
              <w:left w:val="single" w:color="222222" w:sz="6" w:space="0"/>
              <w:bottom w:val="single" w:color="222222" w:sz="6" w:space="0"/>
              <w:right w:val="single" w:color="222222" w:sz="6" w:space="0"/>
            </w:tcBorders>
          </w:tcPr>
          <w:p w14:paraId="158CFB0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用户体验原理、交互设计准则、视觉传达理论、用户研究方法、前端开发基础</w:t>
            </w:r>
          </w:p>
        </w:tc>
      </w:tr>
      <w:tr w14:paraId="3478DB05">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56BD4B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商业摄影与蓝绿屏拍摄技术</w:t>
            </w:r>
          </w:p>
        </w:tc>
        <w:tc>
          <w:tcPr>
            <w:tcBorders>
              <w:top w:val="single" w:color="222222" w:sz="6" w:space="0"/>
              <w:left w:val="single" w:color="222222" w:sz="6" w:space="0"/>
              <w:bottom w:val="single" w:color="222222" w:sz="6" w:space="0"/>
              <w:right w:val="single" w:color="222222" w:sz="6" w:space="0"/>
            </w:tcBorders>
          </w:tcPr>
          <w:p w14:paraId="414C5446">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光学原理、色彩科学、摄影构图、灯光设计、抠像技术原理、后期合成基础</w:t>
            </w:r>
          </w:p>
        </w:tc>
      </w:tr>
      <w:tr w14:paraId="31DDC64A">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3A0BCCC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数字三维场景设计</w:t>
            </w:r>
          </w:p>
        </w:tc>
        <w:tc>
          <w:tcPr>
            <w:tcBorders>
              <w:top w:val="single" w:color="222222" w:sz="6" w:space="0"/>
              <w:left w:val="single" w:color="222222" w:sz="6" w:space="0"/>
              <w:bottom w:val="single" w:color="222222" w:sz="6" w:space="0"/>
              <w:right w:val="single" w:color="222222" w:sz="6" w:space="0"/>
            </w:tcBorders>
          </w:tcPr>
          <w:p w14:paraId="2C31B67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三维空间构成、建模拓扑学、材质与纹理原理、光影物理、环境艺术设计</w:t>
            </w:r>
          </w:p>
        </w:tc>
      </w:tr>
      <w:tr w14:paraId="736687FE">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E8983A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MG动画制作技术</w:t>
            </w:r>
          </w:p>
        </w:tc>
        <w:tc>
          <w:tcPr>
            <w:tcBorders>
              <w:top w:val="single" w:color="222222" w:sz="6" w:space="0"/>
              <w:left w:val="single" w:color="222222" w:sz="6" w:space="0"/>
              <w:bottom w:val="single" w:color="222222" w:sz="6" w:space="0"/>
              <w:right w:val="single" w:color="222222" w:sz="6" w:space="0"/>
            </w:tcBorders>
          </w:tcPr>
          <w:p w14:paraId="22718F0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运动规律、图形设计、时间轴控制、动态图形原理、视觉叙事技巧</w:t>
            </w:r>
          </w:p>
        </w:tc>
      </w:tr>
      <w:tr w14:paraId="5819F8F8">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01C4ABA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音视频处理技术</w:t>
            </w:r>
          </w:p>
        </w:tc>
        <w:tc>
          <w:tcPr>
            <w:tcBorders>
              <w:top w:val="single" w:color="222222" w:sz="6" w:space="0"/>
              <w:left w:val="single" w:color="222222" w:sz="6" w:space="0"/>
              <w:bottom w:val="single" w:color="222222" w:sz="6" w:space="0"/>
              <w:right w:val="single" w:color="222222" w:sz="6" w:space="0"/>
            </w:tcBorders>
          </w:tcPr>
          <w:p w14:paraId="052A607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声学基础、音频信号处理、视频编码原理、音画同步技术、流媒体协议</w:t>
            </w:r>
          </w:p>
        </w:tc>
      </w:tr>
      <w:tr w14:paraId="09578B1F">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0F240A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影视剪辑实训</w:t>
            </w:r>
          </w:p>
        </w:tc>
        <w:tc>
          <w:tcPr>
            <w:tcBorders>
              <w:top w:val="single" w:color="222222" w:sz="6" w:space="0"/>
              <w:left w:val="single" w:color="222222" w:sz="6" w:space="0"/>
              <w:bottom w:val="single" w:color="222222" w:sz="6" w:space="0"/>
              <w:right w:val="single" w:color="222222" w:sz="6" w:space="0"/>
            </w:tcBorders>
          </w:tcPr>
          <w:p w14:paraId="218CA69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蒙太奇理论、叙事结构、节奏控制、色彩分级原理、影片格式标准</w:t>
            </w:r>
          </w:p>
        </w:tc>
      </w:tr>
      <w:tr w14:paraId="1283CB31">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8D1582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影视特效制作与合成</w:t>
            </w:r>
          </w:p>
        </w:tc>
        <w:tc>
          <w:tcPr>
            <w:tcBorders>
              <w:top w:val="single" w:color="222222" w:sz="6" w:space="0"/>
              <w:left w:val="single" w:color="222222" w:sz="6" w:space="0"/>
              <w:bottom w:val="single" w:color="222222" w:sz="6" w:space="0"/>
              <w:right w:val="single" w:color="222222" w:sz="6" w:space="0"/>
            </w:tcBorders>
          </w:tcPr>
          <w:p w14:paraId="058C51B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粒子系统、动力学模拟、数字合成原理、跟踪技术、视觉效果历史</w:t>
            </w:r>
          </w:p>
        </w:tc>
      </w:tr>
      <w:tr w14:paraId="07B3FDCB">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22C4D4C">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数字三维角色设计</w:t>
            </w:r>
          </w:p>
        </w:tc>
        <w:tc>
          <w:tcPr>
            <w:tcBorders>
              <w:top w:val="single" w:color="222222" w:sz="6" w:space="0"/>
              <w:left w:val="single" w:color="222222" w:sz="6" w:space="0"/>
              <w:bottom w:val="single" w:color="222222" w:sz="6" w:space="0"/>
              <w:right w:val="single" w:color="222222" w:sz="6" w:space="0"/>
            </w:tcBorders>
          </w:tcPr>
          <w:p w14:paraId="053ED708">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人体解剖学、生物力学、角色设定理论、表情控制系统、服装动力学</w:t>
            </w:r>
          </w:p>
        </w:tc>
      </w:tr>
      <w:tr w14:paraId="22C0659A">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91BD3B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光影与质感表现技术</w:t>
            </w:r>
          </w:p>
        </w:tc>
        <w:tc>
          <w:tcPr>
            <w:tcBorders>
              <w:top w:val="single" w:color="222222" w:sz="6" w:space="0"/>
              <w:left w:val="single" w:color="222222" w:sz="6" w:space="0"/>
              <w:bottom w:val="single" w:color="222222" w:sz="6" w:space="0"/>
              <w:right w:val="single" w:color="222222" w:sz="6" w:space="0"/>
            </w:tcBorders>
          </w:tcPr>
          <w:p w14:paraId="428DA32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全局光照算法、材质着色器原理、高动态范围成像、物理渲染方程</w:t>
            </w:r>
          </w:p>
        </w:tc>
      </w:tr>
      <w:tr w14:paraId="3CE73EBB">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7BF289B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三维动画制作技术</w:t>
            </w:r>
          </w:p>
        </w:tc>
        <w:tc>
          <w:tcPr>
            <w:tcBorders>
              <w:top w:val="single" w:color="222222" w:sz="6" w:space="0"/>
              <w:left w:val="single" w:color="222222" w:sz="6" w:space="0"/>
              <w:bottom w:val="single" w:color="222222" w:sz="6" w:space="0"/>
              <w:right w:val="single" w:color="222222" w:sz="6" w:space="0"/>
            </w:tcBorders>
          </w:tcPr>
          <w:p w14:paraId="70289CF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动画原理、骨骼绑定、运动捕捉技术、角色表演理论、摄像机动画</w:t>
            </w:r>
          </w:p>
        </w:tc>
      </w:tr>
      <w:tr w14:paraId="2392302B">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B0B4D5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三维影视广告制作</w:t>
            </w:r>
          </w:p>
        </w:tc>
        <w:tc>
          <w:tcPr>
            <w:tcBorders>
              <w:top w:val="single" w:color="222222" w:sz="6" w:space="0"/>
              <w:left w:val="single" w:color="222222" w:sz="6" w:space="0"/>
              <w:bottom w:val="single" w:color="222222" w:sz="6" w:space="0"/>
              <w:right w:val="single" w:color="222222" w:sz="6" w:space="0"/>
            </w:tcBorders>
          </w:tcPr>
          <w:p w14:paraId="0AA595D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广告学原理、品牌策略、产品表现技巧、营销心理学、媒体投放知识</w:t>
            </w:r>
          </w:p>
        </w:tc>
      </w:tr>
      <w:tr w14:paraId="5DEEE4DC">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4AC757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三维资产制作实训</w:t>
            </w:r>
          </w:p>
        </w:tc>
        <w:tc>
          <w:tcPr>
            <w:tcBorders>
              <w:top w:val="single" w:color="222222" w:sz="6" w:space="0"/>
              <w:left w:val="single" w:color="222222" w:sz="6" w:space="0"/>
              <w:bottom w:val="single" w:color="222222" w:sz="6" w:space="0"/>
              <w:right w:val="single" w:color="222222" w:sz="6" w:space="0"/>
            </w:tcBorders>
          </w:tcPr>
          <w:p w14:paraId="0A21C8B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数字资产管理、模型优化技术、资源管道流程、版本控制、行业标准规范</w:t>
            </w:r>
          </w:p>
        </w:tc>
      </w:tr>
      <w:tr w14:paraId="11AF9497">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789CF78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720全景拍摄与缝合技术</w:t>
            </w:r>
          </w:p>
        </w:tc>
        <w:tc>
          <w:tcPr>
            <w:tcBorders>
              <w:top w:val="single" w:color="222222" w:sz="6" w:space="0"/>
              <w:left w:val="single" w:color="222222" w:sz="6" w:space="0"/>
              <w:bottom w:val="single" w:color="222222" w:sz="6" w:space="0"/>
              <w:right w:val="single" w:color="222222" w:sz="6" w:space="0"/>
            </w:tcBorders>
          </w:tcPr>
          <w:p w14:paraId="7C9F86F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球面投影数学、多镜头同步、图像拼接算法、虚拟漫游原理、沉浸式体验设计</w:t>
            </w:r>
          </w:p>
        </w:tc>
      </w:tr>
    </w:tbl>
    <w:p w14:paraId="5ABA97A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专业的知识结构构建应当遵循“底层共享、中层分流、高层互选”的原则，即低年级建立扎实的技术与艺术基础，中年级根据兴趣方向深入学习专业核心知识，高年级则通过跨领域选修课拓展知识边界。徐立萍（2017）在校企合作研究中发现，行业企业特别看重毕业生对知识体系的整合能力，即能够将分散的知识点串联成解决实际问题的系统方案。</w:t>
      </w:r>
    </w:p>
    <w:p w14:paraId="7B1BCC93">
      <w:pPr>
        <w:pStyle w:val="4"/>
        <w:numPr>
          <w:ilvl w:val="0"/>
          <w:numId w:val="7"/>
        </w:numPr>
        <w:bidi w:val="0"/>
        <w:ind w:left="425" w:leftChars="0" w:hanging="425" w:firstLineChars="0"/>
        <w:rPr>
          <w:rFonts w:hint="eastAsia"/>
        </w:rPr>
      </w:pPr>
      <w:r>
        <w:rPr>
          <w:rFonts w:hint="eastAsia"/>
        </w:rPr>
        <w:t>实践技能与操作能力需求分析</w:t>
      </w:r>
    </w:p>
    <w:p w14:paraId="173754F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行业是实践性极强的领域，企业对人才的实践技能与操作能力要求往往高于理论知识掌握程度。根据岗位调研结果，数字媒体专业所需的实践技能可分为工具软件操作技能、项目流程实践技能和创新解决实际问题技能三个层次。</w:t>
      </w:r>
    </w:p>
    <w:p w14:paraId="01A63CF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工具软件操作技能是数字媒体人才的基本功，包括行业标准软件的使用熟练度。不同细分领域有其核心工具集：交互界面设计需掌握Figma、Sketch等原型设计工具；三维场景设计需要熟练使用Maya、3ds Max、Blender等建模软件；影视剪辑则要求精通Premiere、Final Cut Pro等非线性编辑工具。岳佳欣（</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）强调，工具技能的培养不能停留在表面操作，而应深入理解工具背后的设计逻辑和工作原理，这样才能在技术更新时快速适应新工具。</w:t>
      </w:r>
    </w:p>
    <w:p w14:paraId="47FD0A8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流程实践技能是指完成完整项目所需的全流程能力，包括需求分析、方案设计、技术实施、测试优化和交付维护等环节。以三维影视广告制作为例，学生需要掌握从客户需求沟通、创意故事板设计、三维资产制作、动画渲染到后期合成的完整流程。李猛（2023）提出的“四三三”人才培养模式中，特别强调通过真实项目实训让学生熟悉行业标准工作流程，缩短从学校到企业的适应期。</w:t>
      </w:r>
    </w:p>
    <w:p w14:paraId="6081A27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创新解决实际问题技能是高端数字媒体人才的核心竞争力，包括技术攻关能力、创意实现能力和跨领域整合能力。随着AIGC等新技术的兴起，数字媒体从业者需要能够将新技术与传统工艺结合，解决行业中遇到的实际问题。例如，在720全景拍摄与缝合技术中，面对复杂场景的拼接难题，需要创新性地调整拍摄方案或开发自定义脚本解决问题。陈思辰（2019）在“三四一三”人才培养模式研究中指出，实践教学应设置开放性挑战项目，培养学生面对未知问题的探索和解决能力。</w:t>
      </w:r>
    </w:p>
    <w:p w14:paraId="0B200A6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专业的实践技能培养应当遵循“基础实训-项目模拟-真实实战”的递进路径。基础实训阶段通过分解动作练习掌握核心工具和基本技术；项目模拟阶段在虚拟项目中应用多项技能完成完整任务；真实实战阶段则通过校企合作项目、竞赛参与等方式接触真实行业需求。郭品在中职艺术专业综合实践课程研究中发现，将真实工作任务转化为课程项目，能显著提升学生的实践技能水平和职业适应能力。</w:t>
      </w:r>
    </w:p>
    <w:p w14:paraId="415C9B1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下表详细列出了各细分领域的关键实践技能要求：</w:t>
      </w:r>
    </w:p>
    <w:tbl>
      <w:tblPr>
        <w:tblStyle w:val="13"/>
        <w:tblW w:w="5000" w:type="pct"/>
        <w:tblInd w:w="0" w:type="dxa"/>
        <w:tblLayout w:type="autofit"/>
        <w:tblCellMar>
          <w:top w:w="0" w:type="dxa"/>
          <w:left w:w="108" w:type="dxa"/>
          <w:bottom w:w="0" w:type="dxa"/>
          <w:right w:w="108" w:type="dxa"/>
        </w:tblCellMar>
      </w:tblPr>
      <w:tblGrid>
        <w:gridCol w:w="2367"/>
        <w:gridCol w:w="6155"/>
      </w:tblGrid>
      <w:tr w14:paraId="08829AF6">
        <w:tc>
          <w:tcPr>
            <w:tcBorders>
              <w:top w:val="single" w:color="222222" w:sz="6" w:space="0"/>
              <w:left w:val="single" w:color="222222" w:sz="6" w:space="0"/>
              <w:bottom w:val="single" w:color="222222" w:sz="6" w:space="0"/>
              <w:right w:val="single" w:color="222222" w:sz="6" w:space="0"/>
            </w:tcBorders>
          </w:tcPr>
          <w:p w14:paraId="1B4AF1E7">
            <w:pPr>
              <w:pageBreakBefore w:val="0"/>
              <w:widowControl/>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细分领域</w:t>
            </w:r>
          </w:p>
        </w:tc>
        <w:tc>
          <w:tcPr>
            <w:tcBorders>
              <w:top w:val="single" w:color="222222" w:sz="6" w:space="0"/>
              <w:left w:val="single" w:color="222222" w:sz="6" w:space="0"/>
              <w:bottom w:val="single" w:color="222222" w:sz="6" w:space="0"/>
              <w:right w:val="single" w:color="222222" w:sz="6" w:space="0"/>
            </w:tcBorders>
          </w:tcPr>
          <w:p w14:paraId="416F8906">
            <w:pPr>
              <w:pageBreakBefore w:val="0"/>
              <w:widowControl/>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关键实践技能</w:t>
            </w:r>
          </w:p>
        </w:tc>
      </w:tr>
      <w:tr w14:paraId="0E8383B2">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64B5A99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交互界面设计技术</w:t>
            </w:r>
          </w:p>
        </w:tc>
        <w:tc>
          <w:tcPr>
            <w:tcBorders>
              <w:top w:val="single" w:color="222222" w:sz="6" w:space="0"/>
              <w:left w:val="single" w:color="222222" w:sz="6" w:space="0"/>
              <w:bottom w:val="single" w:color="222222" w:sz="6" w:space="0"/>
              <w:right w:val="single" w:color="222222" w:sz="6" w:space="0"/>
            </w:tcBorders>
          </w:tcPr>
          <w:p w14:paraId="0EFFEF5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用户访谈与调研、信息架构设计、交互原型制作、可用性测试、设计规范输出</w:t>
            </w:r>
          </w:p>
        </w:tc>
      </w:tr>
      <w:tr w14:paraId="2199AD01">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07F319D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商业摄影与蓝绿屏拍摄技术</w:t>
            </w:r>
          </w:p>
        </w:tc>
        <w:tc>
          <w:tcPr>
            <w:tcBorders>
              <w:top w:val="single" w:color="222222" w:sz="6" w:space="0"/>
              <w:left w:val="single" w:color="222222" w:sz="6" w:space="0"/>
              <w:bottom w:val="single" w:color="222222" w:sz="6" w:space="0"/>
              <w:right w:val="single" w:color="222222" w:sz="6" w:space="0"/>
            </w:tcBorders>
          </w:tcPr>
          <w:p w14:paraId="41FC221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专业相机操作、灯光布置、背景抠像、场景构图、现场布光技巧</w:t>
            </w:r>
          </w:p>
        </w:tc>
      </w:tr>
      <w:tr w14:paraId="1788C470">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0D170E8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数字三维场景设计</w:t>
            </w:r>
          </w:p>
        </w:tc>
        <w:tc>
          <w:tcPr>
            <w:tcBorders>
              <w:top w:val="single" w:color="222222" w:sz="6" w:space="0"/>
              <w:left w:val="single" w:color="222222" w:sz="6" w:space="0"/>
              <w:bottom w:val="single" w:color="222222" w:sz="6" w:space="0"/>
              <w:right w:val="single" w:color="222222" w:sz="6" w:space="0"/>
            </w:tcBorders>
          </w:tcPr>
          <w:p w14:paraId="5530295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三维建模、UV展开、材质绘制、灯光设置、场景优化、渲染输出</w:t>
            </w:r>
          </w:p>
        </w:tc>
      </w:tr>
      <w:tr w14:paraId="3BCA79DB">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7603141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MG动画制作技术</w:t>
            </w:r>
          </w:p>
        </w:tc>
        <w:tc>
          <w:tcPr>
            <w:tcBorders>
              <w:top w:val="single" w:color="222222" w:sz="6" w:space="0"/>
              <w:left w:val="single" w:color="222222" w:sz="6" w:space="0"/>
              <w:bottom w:val="single" w:color="222222" w:sz="6" w:space="0"/>
              <w:right w:val="single" w:color="222222" w:sz="6" w:space="0"/>
            </w:tcBorders>
          </w:tcPr>
          <w:p w14:paraId="32BE804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图形设计、关键帧动画、运动曲线编辑、节奏控制、音画同步</w:t>
            </w:r>
          </w:p>
        </w:tc>
      </w:tr>
      <w:tr w14:paraId="38A2FAF9">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391B3825">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音视频处理技术</w:t>
            </w:r>
          </w:p>
        </w:tc>
        <w:tc>
          <w:tcPr>
            <w:tcBorders>
              <w:top w:val="single" w:color="222222" w:sz="6" w:space="0"/>
              <w:left w:val="single" w:color="222222" w:sz="6" w:space="0"/>
              <w:bottom w:val="single" w:color="222222" w:sz="6" w:space="0"/>
              <w:right w:val="single" w:color="222222" w:sz="6" w:space="0"/>
            </w:tcBorders>
          </w:tcPr>
          <w:p w14:paraId="2CA2311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音频采集与降噪、多轨混音、音效设计、视频编码转换、流媒体发布</w:t>
            </w:r>
          </w:p>
        </w:tc>
      </w:tr>
      <w:tr w14:paraId="5FE9E054">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338E25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影视剪辑实训</w:t>
            </w:r>
          </w:p>
        </w:tc>
        <w:tc>
          <w:tcPr>
            <w:tcBorders>
              <w:top w:val="single" w:color="222222" w:sz="6" w:space="0"/>
              <w:left w:val="single" w:color="222222" w:sz="6" w:space="0"/>
              <w:bottom w:val="single" w:color="222222" w:sz="6" w:space="0"/>
              <w:right w:val="single" w:color="222222" w:sz="6" w:space="0"/>
            </w:tcBorders>
          </w:tcPr>
          <w:p w14:paraId="7B4A0EA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素材管理、剪辑节奏把握、转场效果应用、色彩校正、多格式输出</w:t>
            </w:r>
          </w:p>
        </w:tc>
      </w:tr>
      <w:tr w14:paraId="315486D7">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1DBF7949">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影视特效制作与合成</w:t>
            </w:r>
          </w:p>
        </w:tc>
        <w:tc>
          <w:tcPr>
            <w:tcBorders>
              <w:top w:val="single" w:color="222222" w:sz="6" w:space="0"/>
              <w:left w:val="single" w:color="222222" w:sz="6" w:space="0"/>
              <w:bottom w:val="single" w:color="222222" w:sz="6" w:space="0"/>
              <w:right w:val="single" w:color="222222" w:sz="6" w:space="0"/>
            </w:tcBorders>
          </w:tcPr>
          <w:p w14:paraId="1696984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粒子特效制作、动力学模拟、摄像机跟踪、绿屏抠像、多通道合成</w:t>
            </w:r>
          </w:p>
        </w:tc>
      </w:tr>
      <w:tr w14:paraId="6CC58C80">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7AB491F">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数字三维角色设计</w:t>
            </w:r>
          </w:p>
        </w:tc>
        <w:tc>
          <w:tcPr>
            <w:tcBorders>
              <w:top w:val="single" w:color="222222" w:sz="6" w:space="0"/>
              <w:left w:val="single" w:color="222222" w:sz="6" w:space="0"/>
              <w:bottom w:val="single" w:color="222222" w:sz="6" w:space="0"/>
              <w:right w:val="single" w:color="222222" w:sz="6" w:space="0"/>
            </w:tcBorders>
          </w:tcPr>
          <w:p w14:paraId="6D62F7A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角色建模、拓扑优化、骨骼绑定、权重绘制、表情系统设置</w:t>
            </w:r>
          </w:p>
        </w:tc>
      </w:tr>
      <w:tr w14:paraId="18A97E62">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DECD8F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光影与质感表现技术</w:t>
            </w:r>
          </w:p>
        </w:tc>
        <w:tc>
          <w:tcPr>
            <w:tcBorders>
              <w:top w:val="single" w:color="222222" w:sz="6" w:space="0"/>
              <w:left w:val="single" w:color="222222" w:sz="6" w:space="0"/>
              <w:bottom w:val="single" w:color="222222" w:sz="6" w:space="0"/>
              <w:right w:val="single" w:color="222222" w:sz="6" w:space="0"/>
            </w:tcBorders>
          </w:tcPr>
          <w:p w14:paraId="56F05B41">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HDR环境设置、物理材质调整、全局光照烘焙、后期调色</w:t>
            </w:r>
          </w:p>
        </w:tc>
      </w:tr>
      <w:tr w14:paraId="51B96815">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7FDC94F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三维动画制作技术</w:t>
            </w:r>
          </w:p>
        </w:tc>
        <w:tc>
          <w:tcPr>
            <w:tcBorders>
              <w:top w:val="single" w:color="222222" w:sz="6" w:space="0"/>
              <w:left w:val="single" w:color="222222" w:sz="6" w:space="0"/>
              <w:bottom w:val="single" w:color="222222" w:sz="6" w:space="0"/>
              <w:right w:val="single" w:color="222222" w:sz="6" w:space="0"/>
            </w:tcBorders>
          </w:tcPr>
          <w:p w14:paraId="70C4BF5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关键帧动画、路径动画、角色表演、镜头语言运用、渲染优化</w:t>
            </w:r>
          </w:p>
        </w:tc>
      </w:tr>
      <w:tr w14:paraId="6F49ACC3">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0B11DEE">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三维影视广告制作</w:t>
            </w:r>
          </w:p>
        </w:tc>
        <w:tc>
          <w:tcPr>
            <w:tcBorders>
              <w:top w:val="single" w:color="222222" w:sz="6" w:space="0"/>
              <w:left w:val="single" w:color="222222" w:sz="6" w:space="0"/>
              <w:bottom w:val="single" w:color="222222" w:sz="6" w:space="0"/>
              <w:right w:val="single" w:color="222222" w:sz="6" w:space="0"/>
            </w:tcBorders>
          </w:tcPr>
          <w:p w14:paraId="48033747">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产品表现、场景搭建、特效合成、音画配合、多版本适配</w:t>
            </w:r>
          </w:p>
        </w:tc>
      </w:tr>
      <w:tr w14:paraId="5A10427B">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517332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三维资产制作实训</w:t>
            </w:r>
          </w:p>
        </w:tc>
        <w:tc>
          <w:tcPr>
            <w:tcBorders>
              <w:top w:val="single" w:color="222222" w:sz="6" w:space="0"/>
              <w:left w:val="single" w:color="222222" w:sz="6" w:space="0"/>
              <w:bottom w:val="single" w:color="222222" w:sz="6" w:space="0"/>
              <w:right w:val="single" w:color="222222" w:sz="6" w:space="0"/>
            </w:tcBorders>
          </w:tcPr>
          <w:p w14:paraId="09ABAE20">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高模低模匹配、法线贴图烘焙、LOD制作、资源标准化、管道管理</w:t>
            </w:r>
          </w:p>
        </w:tc>
      </w:tr>
      <w:tr w14:paraId="24CCF982">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2D766702">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720全景拍摄与缝合技术</w:t>
            </w:r>
          </w:p>
        </w:tc>
        <w:tc>
          <w:tcPr>
            <w:tcBorders>
              <w:top w:val="single" w:color="222222" w:sz="6" w:space="0"/>
              <w:left w:val="single" w:color="222222" w:sz="6" w:space="0"/>
              <w:bottom w:val="single" w:color="222222" w:sz="6" w:space="0"/>
              <w:right w:val="single" w:color="222222" w:sz="6" w:space="0"/>
            </w:tcBorders>
          </w:tcPr>
          <w:p w14:paraId="7DB5DE3A">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全景相机操作、节点调整、曝光控制、拼接处理、热点交互设置</w:t>
            </w:r>
          </w:p>
        </w:tc>
      </w:tr>
    </w:tbl>
    <w:p w14:paraId="58424E58">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实践技能的培养需要充足的实训课时和先进的设备支持。曹琦（</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在交互动画设计课程实践中发现，通过“课堂实训+工作室项目+企业实习”的三段式实践教学体系，能有效提升学生的技能熟练度和综合应用能力。同时，实践技能评价应当注重过程性评价与成果评价相结合，既关注技能操作的规范性，也看重解决实际问题的效果。</w:t>
      </w:r>
    </w:p>
    <w:p w14:paraId="0A9E54FE">
      <w:pPr>
        <w:pStyle w:val="4"/>
        <w:numPr>
          <w:ilvl w:val="0"/>
          <w:numId w:val="7"/>
        </w:numPr>
        <w:bidi w:val="0"/>
        <w:ind w:left="425" w:leftChars="0" w:hanging="425" w:firstLineChars="0"/>
        <w:rPr>
          <w:rFonts w:hint="eastAsia"/>
        </w:rPr>
      </w:pPr>
      <w:r>
        <w:rPr>
          <w:rFonts w:hint="eastAsia"/>
        </w:rPr>
        <w:t>职业素养与综合能力评估标准</w:t>
      </w:r>
    </w:p>
    <w:p w14:paraId="40FB53C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业素养与综合能力是数字媒体专业人才可持续发展的重要保障，决定了其在职业生涯中的成长高度和适应能力。根据行业调研，数字媒体人才所需的职业素养可分为职业道德素养、职业心理素养和职业发展素养三个维度。</w:t>
      </w:r>
    </w:p>
    <w:p w14:paraId="1FC7234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业道德素养包括诚信守法、责任意识、团队协作和知识产权尊重等方面。数字媒体行业涉及大量原创内容和知识产权，从业人员必须树立强烈的版权意识，尊重他人劳动成果，同时保护自己的合法权益。黄晓雷（</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）在课程思政融入专业建设的研究中强调，职业道德教育应贯穿专业教学全过程，通过真实案例培养学生的是非判断能力和职业操守。</w:t>
      </w:r>
    </w:p>
    <w:p w14:paraId="5C2B913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业心理素养包括抗压能力、创新精神、批判性思维和情绪管理等。数字媒体项目通常周期紧张、需求多变，从业者需要具备良好的心理韧性，能够在压力下保持创作质量。同时，创新精神是数字媒体行业的核心驱动力，要求从业者不断突破常规，探索新的表现形式和技术应用。陈雅慧（2022）在“以赛促教”模式研究中发现，通过参与高压力、高挑战的学科竞赛，能有效锻炼学生的心理素质和创新能力。</w:t>
      </w:r>
    </w:p>
    <w:p w14:paraId="2828770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业发展素养包括终身学习能力、跨文化沟通能力、项目管理和职业规划能力等。数字媒体技术更新迅猛，从业者必须保持持续学习的状态，及时跟踪行业动态和技术趋势。随着国际化合作的增多，跨文化沟通能力也变得日益重要。李亚（</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）在“岗课赛证”融通育人模式研究中指出，职业发展素养的培养需要打破课堂边界，通过多元化实践活动拓展学生的视野和能力。</w:t>
      </w:r>
    </w:p>
    <w:p w14:paraId="12E6499F">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专业职业素养的评估应当建立多元化的评价标准体系，包括专业知识考核、实践技能评价、项目作品评审、职业行为观察和综合素质访谈等多个方面。评估过程应注重定量与定性相结合，结果性评价与过程性评价并重。</w:t>
      </w:r>
    </w:p>
    <w:p w14:paraId="3856CF5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以下雷达图展示了数字媒体专业人才核心能力的综合评价维度：</w:t>
      </w:r>
    </w:p>
    <w:p w14:paraId="378D475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p>
    <w:tbl>
      <w:tblPr>
        <w:tblStyle w:val="13"/>
        <w:tblW w:w="97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15"/>
      </w:tblGrid>
      <w:tr w14:paraId="317F3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vAlign w:val="center"/>
          </w:tcPr>
          <w:p w14:paraId="58D85E79">
            <w:pPr>
              <w:pageBreakBefore w:val="0"/>
              <w:widowControl/>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drawing>
                <wp:anchor distT="0" distB="0" distL="0" distR="0" simplePos="0" relativeHeight="251660288" behindDoc="0" locked="0" layoutInCell="1" allowOverlap="1">
                  <wp:simplePos x="0" y="0"/>
                  <wp:positionH relativeFrom="column">
                    <wp:posOffset>0</wp:posOffset>
                  </wp:positionH>
                  <wp:positionV relativeFrom="paragraph">
                    <wp:posOffset>-3179445</wp:posOffset>
                  </wp:positionV>
                  <wp:extent cx="5732145" cy="3402965"/>
                  <wp:effectExtent l="0" t="0" r="0"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5732145" cy="3403461"/>
                          </a:xfrm>
                          <a:prstGeom prst="rect">
                            <a:avLst/>
                          </a:prstGeom>
                        </pic:spPr>
                      </pic:pic>
                    </a:graphicData>
                  </a:graphic>
                </wp:anchor>
              </w:drawing>
            </w:r>
          </w:p>
        </w:tc>
      </w:tr>
      <w:tr w14:paraId="76227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vAlign w:val="center"/>
          </w:tcPr>
          <w:p w14:paraId="1460E7EC">
            <w:pPr>
              <w:pageBreakBefore w:val="0"/>
              <w:widowControl/>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数字媒体专业核心能力雷达图</w:t>
            </w:r>
          </w:p>
        </w:tc>
      </w:tr>
    </w:tbl>
    <w:p w14:paraId="2725403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p>
    <w:p w14:paraId="293511D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数字媒体专业综合能力评估标准应包括以下核心指标：</w:t>
      </w:r>
    </w:p>
    <w:p w14:paraId="07FF012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技术应用能力</w:t>
      </w:r>
      <w:r>
        <w:rPr>
          <w:rFonts w:hint="eastAsia" w:asciiTheme="minorEastAsia" w:hAnsiTheme="minorEastAsia" w:eastAsiaTheme="minorEastAsia" w:cstheme="minorEastAsia"/>
          <w:sz w:val="24"/>
          <w:szCs w:val="24"/>
        </w:rPr>
        <w:t>：评估学生掌握专业工具和技术的熟练程度，以及解决技术问题的能力。包括软件操作效率、技术方案合理性、技术难点突破等方面的表现。</w:t>
      </w:r>
    </w:p>
    <w:p w14:paraId="33CCEB7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创意表现能力</w:t>
      </w:r>
      <w:r>
        <w:rPr>
          <w:rFonts w:hint="eastAsia" w:asciiTheme="minorEastAsia" w:hAnsiTheme="minorEastAsia" w:eastAsiaTheme="minorEastAsia" w:cstheme="minorEastAsia"/>
          <w:sz w:val="24"/>
          <w:szCs w:val="24"/>
        </w:rPr>
        <w:t>：评估学生的创意思维和艺术表现水平。包括创意新颖性、视觉表现力、叙事能力、风格把握等方面的素质。</w:t>
      </w:r>
    </w:p>
    <w:p w14:paraId="3FF19138">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团队协作能力</w:t>
      </w:r>
      <w:r>
        <w:rPr>
          <w:rFonts w:hint="eastAsia" w:asciiTheme="minorEastAsia" w:hAnsiTheme="minorEastAsia" w:eastAsiaTheme="minorEastAsia" w:cstheme="minorEastAsia"/>
          <w:sz w:val="24"/>
          <w:szCs w:val="24"/>
        </w:rPr>
        <w:t>：评估学生在团队项目中的贡献度和合作精神。包括角色定位准确性、沟通有效性、责任担当意识、冲突处理能力等维度。</w:t>
      </w:r>
    </w:p>
    <w:p w14:paraId="4F7E367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项目管理能力</w:t>
      </w:r>
      <w:r>
        <w:rPr>
          <w:rFonts w:hint="eastAsia" w:asciiTheme="minorEastAsia" w:hAnsiTheme="minorEastAsia" w:eastAsiaTheme="minorEastAsia" w:cstheme="minorEastAsia"/>
          <w:sz w:val="24"/>
          <w:szCs w:val="24"/>
        </w:rPr>
        <w:t>：评估学生规划、执行和控制项目的能力。包括时间管理、资源调配、质量控制、风险评估等方面的表现。</w:t>
      </w:r>
    </w:p>
    <w:p w14:paraId="69ED1BDF">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学习适应能力</w:t>
      </w:r>
      <w:r>
        <w:rPr>
          <w:rFonts w:hint="eastAsia" w:asciiTheme="minorEastAsia" w:hAnsiTheme="minorEastAsia" w:eastAsiaTheme="minorEastAsia" w:cstheme="minorEastAsia"/>
          <w:sz w:val="24"/>
          <w:szCs w:val="24"/>
        </w:rPr>
        <w:t>：评估学生自主学习和新知识掌握的速度与深度。包括技术更新跟进、新工具学习、行业动态关注等方面的表现。</w:t>
      </w:r>
    </w:p>
    <w:p w14:paraId="0BD7370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职业规范素养</w:t>
      </w:r>
      <w:r>
        <w:rPr>
          <w:rFonts w:hint="eastAsia" w:asciiTheme="minorEastAsia" w:hAnsiTheme="minorEastAsia" w:eastAsiaTheme="minorEastAsia" w:cstheme="minorEastAsia"/>
          <w:sz w:val="24"/>
          <w:szCs w:val="24"/>
        </w:rPr>
        <w:t>：评估学生的职业操守和工作态度。包括守时守信、质量意识、客户导向、知识产权尊重等职业行为。</w:t>
      </w:r>
    </w:p>
    <w:p w14:paraId="27742F2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专业职业素养的培养需要营造真实职场环境，引入企业文化和管理制度，让学生在校期间就能体验和适应职业要求。郭品在综合实践课程开发研究中建议，通过引入企业导师、模拟公司运营、实施真实项目等方式，潜移默化地培养学生的职业素养。</w:t>
      </w:r>
    </w:p>
    <w:p w14:paraId="7CE7556F">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此外，职业素养评估应当建立动态跟踪机制，不仅关注学生在校期间的表现，还应通过毕业生跟踪调查了解其职场发展情况，反哺人才培养方案的优化。王馥（2016）通过对毕业生的长期跟踪，发现职业素养良好的学生在职业发展上具有明显优势，这印证了职业素养培养的重要性。</w:t>
      </w:r>
    </w:p>
    <w:p w14:paraId="6CF8D19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专业应当建立“素养-技能-知识”三位一体的人才培养质量观，将职业素养教育融入专业教学全过程，通过课程思政、企业文化浸润、榜样示范等多种途径，培养既具专业技能又拥有良好职业素养的高素质数字媒体人才。</w:t>
      </w:r>
    </w:p>
    <w:p w14:paraId="664A9965">
      <w:pPr>
        <w:pStyle w:val="3"/>
        <w:numPr>
          <w:ilvl w:val="0"/>
          <w:numId w:val="3"/>
        </w:numPr>
        <w:bidi w:val="0"/>
        <w:ind w:left="-420" w:leftChars="0" w:firstLine="420" w:firstLineChars="0"/>
        <w:rPr>
          <w:rFonts w:hint="eastAsia"/>
        </w:rPr>
      </w:pPr>
      <w:bookmarkStart w:id="9" w:name="_Toc269"/>
      <w:r>
        <w:rPr>
          <w:rFonts w:hint="eastAsia"/>
        </w:rPr>
        <w:t>职业培训与课程设置分析</w:t>
      </w:r>
      <w:bookmarkEnd w:id="9"/>
    </w:p>
    <w:p w14:paraId="3E1E980A">
      <w:pPr>
        <w:pStyle w:val="4"/>
        <w:numPr>
          <w:ilvl w:val="0"/>
          <w:numId w:val="8"/>
        </w:numPr>
        <w:bidi w:val="0"/>
        <w:ind w:left="425" w:leftChars="0" w:hanging="425" w:firstLineChars="0"/>
        <w:rPr>
          <w:rFonts w:hint="eastAsia"/>
        </w:rPr>
      </w:pPr>
      <w:r>
        <w:rPr>
          <w:rFonts w:hint="eastAsia"/>
        </w:rPr>
        <w:t>行业职业培训体系现状与不足</w:t>
      </w:r>
    </w:p>
    <w:p w14:paraId="2929D31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当前，数字媒体行业的职业培训体系呈现出多元化的发展态势，涵盖了从高等教育到职业院校、企业内训乃至社会培训机构的多个层次。向辉（2008）指出，数字媒体专业旨在培养能够适应数字媒体技术发展需要及数字内容产业需求的高级复合型人才，其最显著的特点是学科交叉性，涉及技术与艺术两大领域。这一特点决定了职业培训体系必须兼顾技术实操能力与艺术创新素养的双重提升。在高等教育层面，许多高校已设立了数字媒体相关专业，并逐步构建起较为系统的课程体系。例如，易凌云（年份缺失）的研究表明，国内高校数字媒体专业的核心课程体系通常由基础核心课程模块、专业核心课程模块和方向核心课程模块组成，旨在通过模块化教学优化学生的知识结构。</w:t>
      </w:r>
    </w:p>
    <w:p w14:paraId="7954BAB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中等职业教育和高等职业教育领域，职业培训体系更侧重于技能型人才的培养。陈泓吉（2013）通过对中职数字媒体技术应用专业的研究发现，随着数字媒体产业的不断壮大，行业对中等职业教育所培养的专业人才能力提出了更高要求。为此，一些职业院校积极优化人才培养模式，如加强校企合作、引入项目化教学等，以提升培训的实效性。沙新美（2020）以苏州经贸职业技术学院为例，介绍了在校企深度合作背景下形成的“2+1”学制培养、“1+2”课堂打通以及“2+2”现代学徒制相结合的双元育人模式，这种模式有效促进了人才培养与岗位需求的对接。</w:t>
      </w:r>
    </w:p>
    <w:p w14:paraId="1ACF6AE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然而，数字媒体行业职业培训体系仍存在明显不足。首先，培训资源分布不均衡问题突出。黄俊棚（年份缺失）在四川传媒教育发展报告中指出，尽管四川地区传媒教育取得了显著进展，但在教学资源分布、产教融合深度等方面仍面临挑战，这一现象在全国范围内具有普遍性。经济发达地区的培训资源相对集中，而中西部地区及基层院校的实训设备、师资力量等较为匮乏，导致培训质量参差不齐。其次，培训内容与行业技术发展脱节。杨浩生（2008）较早地指出，数字媒体专业在课程设置上往往滞后于行业实践，难以快速响应新技术、新业态的变化。王倩倩（</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基于新疆高等职业学校的案例研究进一步揭示，数字媒体技术专业在人才培养过程中普遍存在课程设置不符合产业需要、专业教学与行业实践脱轨等问题。此外，培训体系的协同性不足。张繁（2011）分析认为，数字媒体专业教育中存在专业定位不明确、课程设置关联度不够、教学资源匮乏等弊端，反映出学校、企业、行业协会等多方主体在培训资源整合、标准共建等方面缺乏有效协作机制，制约了培训体系的整体效能。</w:t>
      </w:r>
    </w:p>
    <w:p w14:paraId="1ADCA709">
      <w:pPr>
        <w:pStyle w:val="4"/>
        <w:numPr>
          <w:ilvl w:val="0"/>
          <w:numId w:val="8"/>
        </w:numPr>
        <w:bidi w:val="0"/>
        <w:ind w:left="425" w:leftChars="0" w:hanging="425" w:firstLineChars="0"/>
        <w:rPr>
          <w:rFonts w:hint="eastAsia"/>
        </w:rPr>
      </w:pPr>
      <w:r>
        <w:rPr>
          <w:rFonts w:hint="eastAsia"/>
        </w:rPr>
        <w:t>职业资格认证需求与实施情况</w:t>
      </w:r>
    </w:p>
    <w:p w14:paraId="0C8688EA">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行业技术更新快、应用领域广，职业资格认证作为衡量从业人员专业技能水平的重要标准，其需求日益凸显。行业对标准化、规范化的技能评价体系有着内在需求，尤其是在交互界面设计、影视特效制作、三维动画等细分领域，权威的职业认证能够为人才选拔、职业晋升提供客观依据。杨哲（2011）在探讨数字媒体技术导论课程教材建设时指出，数字媒体产业的迅猛发展使得社会对专业人才的需求日益迫切，这间接推动了相关职业资格认证体系的建设需求。</w:t>
      </w:r>
    </w:p>
    <w:p w14:paraId="586733A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目前，数字媒体领域的职业资格认证实施情况呈现出多主体参与、多层次并行的特点。国家层面的职业资格认证主要由人力资源和社会保障部门主导，如与数字媒体相关的“多媒体制作员”、“动画绘制员”等职业资格证书。这些证书在一定程度上规范了从业人员的技能基准，但其更新速度有时难以跟上行业技术迭代的步伐。行业组织和龙头企业也在积极推动认证体系建设。例如，一些知名的软件公司（如Adobe、Autodesk）推出了针对其产品的专业技能认证，这类认证在行业内具有较高的认可度，直接体现了对特定工具软件的实操能力。此外，部分行业协会与教育机构合作，开发了更具行业综合性的职业能力等级证书，试图将工具使用与项目实践、艺术审美相结合。</w:t>
      </w:r>
    </w:p>
    <w:p w14:paraId="0BACFC4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然而，职业资格认证的实施仍面临诸多挑战。首先，认证标准不统一问题显著。不同发证机构制定的标准各异，导致证书的权威性和通用性受到质疑，用人单位在选人用人时难以仅凭证书做出准确判断。其次，认证内容与岗位实际需求存在脱节。一些认证过于侧重软件操作技能考核，而忽视了创意设计、项目管理、团队协作等综合职业素养的评价，未能全面反映行业对复合型人才的要求。第三，认证的普及度和认可度有待提升。尤其在快速发展的新兴领域如720全景拍摄与缝合技术、MG动画制作等，缺乏广泛认可的专项职业资格认证，使得从业人员技能评价缺乏标准依据。陈泓吉（2013）在研究中也暗示，中职学校在推行职业资格认证时，常面临课程教学与认证考核衔接不够紧密的问题，影响了认证的实际效果。总体而言，职业资格认证体系尚未完全形成与数字媒体产业动态发展相匹配的良性运行机制。</w:t>
      </w:r>
    </w:p>
    <w:p w14:paraId="5BDC9A9A">
      <w:pPr>
        <w:pStyle w:val="4"/>
        <w:numPr>
          <w:ilvl w:val="0"/>
          <w:numId w:val="8"/>
        </w:numPr>
        <w:bidi w:val="0"/>
        <w:ind w:left="425" w:leftChars="0" w:hanging="425" w:firstLineChars="0"/>
        <w:rPr>
          <w:rFonts w:hint="eastAsia"/>
        </w:rPr>
      </w:pPr>
      <w:r>
        <w:rPr>
          <w:rFonts w:hint="eastAsia"/>
        </w:rPr>
        <w:t>现有课程设置与产业需求的匹配度</w:t>
      </w:r>
    </w:p>
    <w:p w14:paraId="64AD9F2A">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现有数字媒体专业的课程设置与产业需求的匹配度是衡量教育成效的关键指标。根据文献分析，当前课程设置在努力贴近产业需求的同时，仍存在显著的错位现象。</w:t>
      </w:r>
    </w:p>
    <w:p w14:paraId="37F0939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积极方面，许多院校已意识到课程随动产业的重要性，并进行了有益探索。沙新美（2020）介绍的苏州经贸职业技术学院案例中，明确提出了“课程设置随动岗位需求”的原则，通过与企业的深度合作共同制定课程标准和人才培养方案，使课程内容更直接地对应具体岗位能力要求。王倩倩（</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提出的基于“工作坊”的现代学徒制模式，也是通过模拟真实项目环境，将课程学习与实战操作紧密结合，旨在缩小课程教学与行业实践的距离。易凌云（年份缺失）提出的核心课程体系模块化构想，试图通过基础、专业、方向三个模块的划分，在保证知识广度的同时兼顾专业深度，以适应数字媒体产业对人才多元化能力的要求。这些举措表明，教育界正努力提升课程设置的产业关联度。</w:t>
      </w:r>
    </w:p>
    <w:p w14:paraId="58446EA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然而，现有课程设置与产业需求的脱节问题依然突出。首先，课程内容滞后于技术发展。数字媒体技术日新月异，如影视特效制作与合成、三维动画制作等技术迭代迅速，但课程大纲和教材内容的更新往往需要较长的周期，导致学生所学技能与行业当前应用存在差距。杨浩生（2008）和张繁（2011）均指出，课程设置与行业实践脱轨是数字媒体专业教育面临的主要问题之一。其次，课程结构对复合型能力培养支撑不足。数字媒体产业需要的是兼具技术实现能力与艺术创造力的复合型人才。然而，许多课程体系仍存在技术与艺术课程“两张皮”的现象，未能有效实现跨学科知识的融合。向辉（2008）强调的数字媒体专业“学科交叉”特点，在课程实施中并未得到充分体现，技术类课程可能缺乏审美引导，艺术类课程可能弱于技术实现。第三，实践教学环节薄弱。针对数字三维场景设计、影视剪辑实训、三维资产制作实训等高度依赖实践操作的领域，许多课程仍以理论讲授为主，项目驱动式教学、企业真实案例融入不足，学生动手能力和项目经验欠缺。陈泓吉（2013）在对中职教育的研究中也发现，课程设置未能完全基于详细的岗位能力分析，导致培养效果与市场期望存在偏差。</w:t>
      </w:r>
    </w:p>
    <w:p w14:paraId="5E9EE04D">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体到本次调研关注的13个细分领域，课程设置的匹配度呈现不均衡状态。对于交互界面设计技术、音视频处理技术等发展相对成熟的领域，课程覆盖相对较好。但对于商业摄影与蓝绿屏拍摄技术、720全景拍摄与缝合技术、MG动画制作技术等新兴或专项技术，系统性课程较为缺乏，或深度不够，难以满足产业对高素质技能人才的迫切需求。此外，课程对行业新趋势，如AIGC（人工智能生成内容）在数字媒体创作中的应用等，响应不足，前瞻性有待加强。总体而言，提升课程设置与产业需求的匹配度，需要建立更敏捷的课程动态调整机制，深化产教融合，并加强跨学科整合的课程设计。</w:t>
      </w:r>
    </w:p>
    <w:p w14:paraId="407904F8">
      <w:pPr>
        <w:pStyle w:val="2"/>
        <w:numPr>
          <w:ilvl w:val="0"/>
          <w:numId w:val="0"/>
        </w:numPr>
        <w:bidi w:val="0"/>
        <w:ind w:left="-420" w:leftChars="0" w:firstLine="420" w:firstLineChars="0"/>
        <w:rPr>
          <w:rFonts w:hint="eastAsia"/>
        </w:rPr>
      </w:pPr>
      <w:bookmarkStart w:id="10" w:name="_Toc32231"/>
      <w:r>
        <w:rPr>
          <w:rFonts w:hint="eastAsia" w:cstheme="majorBidi"/>
          <w:b/>
          <w:bCs/>
          <w:color w:val="000000"/>
          <w:sz w:val="32"/>
          <w:szCs w:val="28"/>
          <w:lang w:val="en-US" w:eastAsia="zh-CN" w:bidi="ar-SA"/>
        </w:rPr>
        <w:t>三</w:t>
      </w:r>
      <w:r>
        <w:rPr>
          <w:rFonts w:hint="eastAsia" w:eastAsia="宋体" w:asciiTheme="majorAscii" w:hAnsiTheme="majorAscii" w:cstheme="majorBidi"/>
          <w:b/>
          <w:bCs/>
          <w:color w:val="000000"/>
          <w:sz w:val="32"/>
          <w:szCs w:val="28"/>
          <w:lang w:val="en-US" w:eastAsia="en-US" w:bidi="ar-SA"/>
        </w:rPr>
        <w:t>、</w:t>
      </w:r>
      <w:r>
        <w:rPr>
          <w:rFonts w:hint="eastAsia"/>
        </w:rPr>
        <w:t>人才培养方案优化建议</w:t>
      </w:r>
      <w:bookmarkEnd w:id="10"/>
    </w:p>
    <w:p w14:paraId="0971748E">
      <w:pPr>
        <w:pStyle w:val="3"/>
        <w:numPr>
          <w:ilvl w:val="0"/>
          <w:numId w:val="9"/>
        </w:numPr>
        <w:bidi w:val="0"/>
        <w:ind w:left="-420" w:leftChars="0" w:firstLine="420" w:firstLineChars="0"/>
        <w:rPr>
          <w:rFonts w:hint="eastAsia"/>
        </w:rPr>
      </w:pPr>
      <w:bookmarkStart w:id="11" w:name="_Toc4237"/>
      <w:r>
        <w:rPr>
          <w:rFonts w:hint="eastAsia"/>
        </w:rPr>
        <w:t>人才培养目标与规格的调整方向</w:t>
      </w:r>
      <w:bookmarkEnd w:id="11"/>
    </w:p>
    <w:p w14:paraId="7EDE1FB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当前数字媒体行业正经历技术迭代加速、产业融合深化的重要转型期，对人才的综合素养与专项技能提出了更高要求。传统人才培养目标往往偏重技术操作能力，而忽视行业所需的创新思维、项目协作与快速适应能力，导致人才输出与市场岗位需求存在结构性错配。因此，必须对数字媒体专业的人才培养目标与规格进行系统性调整。</w:t>
      </w:r>
    </w:p>
    <w:p w14:paraId="754BC5AA">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首先，在培养目标上，应明确从“技能型”向“复合创新型”转变。数字媒体不仅是技术工具的应用，更是艺术表达与科技融合的创造性领域（殷俊，2012）。培养目标应强调学生在掌握核心技术的基础上，具备跨学科整合能力、项目策划与管理能力以及可持续学习能力。例如，在交互界面设计、MG动画制作等细分方向，除了工具熟练度，还需注重用户心理分析、视觉叙事能力等素养的养成。</w:t>
      </w:r>
    </w:p>
    <w:p w14:paraId="42F1ED3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次，在人才规格上，需进一步细化分层。高职层次人才应强化“技术应用+岗位适配”能力，重点聚焦如影视剪辑、音视频处理等实操性强、岗位需求量大的领域；同时，应注重与中职、本科层次的差异化定位，避免同质化竞争。王健（2019）在研究中指出，通过“项目+工作室”模式，能够有效提升学生的实战能力与职业素养，使其在真实工作场景中快速成长。</w:t>
      </w:r>
    </w:p>
    <w:p w14:paraId="7A84F84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此外，随着AI生成内容、实时渲染、元宇宙等新技术的普及，人才培养规格中应加入“技术伦理与行业规范”模块，使学生不仅会“做”，更懂得“为何而做”以及“如何负责任地做”。张莹（</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）的调研显示，高校在人才培养中普遍缺乏对技术伦理的系统引导，这已成为影响人才长期发展的重要短板。</w:t>
      </w:r>
    </w:p>
    <w:p w14:paraId="1D286E7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最后，人才培养目标的调整应具有区域适应性。不同地区的数字媒体产业发展重心存在差异，如沿海地区侧重影视特效与三维广告制作，而内陆地区可能更侧重文旅数字内容开发。因此，院校在修订目标时需结合本地产业禀赋，形成特色化培养方向，避免“一刀切”。</w:t>
      </w:r>
    </w:p>
    <w:p w14:paraId="5E07A0CC">
      <w:pPr>
        <w:pStyle w:val="3"/>
        <w:numPr>
          <w:ilvl w:val="0"/>
          <w:numId w:val="9"/>
        </w:numPr>
        <w:bidi w:val="0"/>
        <w:ind w:left="-420" w:leftChars="0" w:firstLine="420" w:firstLineChars="0"/>
        <w:rPr>
          <w:rFonts w:hint="eastAsia"/>
        </w:rPr>
      </w:pPr>
      <w:bookmarkStart w:id="12" w:name="_Toc28077"/>
      <w:r>
        <w:rPr>
          <w:rFonts w:hint="eastAsia"/>
        </w:rPr>
        <w:t>课程体系重构与教学内容更新</w:t>
      </w:r>
      <w:bookmarkEnd w:id="12"/>
    </w:p>
    <w:p w14:paraId="5F424F8A">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课程体系是实现人才培养目标的核心载体。当前数字媒体专业的课程设置普遍存在课程群跨度过大或区隔度不高、内容更新滞后于技术发展等问题（张莹，</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）。重构课程体系应遵循“底层共享、中层分立、高层互选”的原则，建立模块化、动态化的课程结构。</w:t>
      </w:r>
    </w:p>
    <w:p w14:paraId="60406AC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基础层，应设立跨专业共享课程模块，如数字媒体技术概论、设计思维、媒体伦理等，夯实学生的通识能力与行业认知。何思敏（2023）强调，产教融合背景下的课程设计应打破艺术与技术的壁垒，推动课程内容的交叉融合。例如，在商业摄影课程中融入蓝绿屏拍摄技术与后期合成原理，帮助学生建立从拍摄到合成的全流程认知。</w:t>
      </w:r>
    </w:p>
    <w:p w14:paraId="337839E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专业核心层，应围绕13个细分领域构建“课程群”，形成能力递进、项目牵引的课程链条。以“三维动画制作技术”方向为例，可设置“三维基础建模→光影与质感表现→角色动画设计→三维影视广告制作”的课程序列，每门课程均以真实项目为载体，实现“学中做、做中学”。徐立萍（2017）提出，以项目为导向的课程改革能够有效衔接课堂教学与行业实践，增强学生的职业胜任力。</w:t>
      </w:r>
    </w:p>
    <w:p w14:paraId="7D5BF48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高层方向课中，应设立柔性化选修模块，如“交互界面设计进阶”“720全景拍摄技术专题”等，允许学生根据兴趣与职业规划进行个性化选择。同时，课程内容应建立动态更新机制，每学年由专业教师与企业专家共同评议，及时引入行业新技术、新规范。刘曼（2017）指出，校企合作开发课程是确保教学内容前沿性的关键路径。</w:t>
      </w:r>
    </w:p>
    <w:p w14:paraId="12B5AFA8">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此外，教学内容应强化“输出导向”，即每门课程需明确学生应提交的成果形式（如作品集、项目报告、技术方案等），并与职业资格标准或行业认证相衔接。例如，在“影视特效制作与合成”课程中，可引入Adobe认证或Autodesk行业标准，提升教学内容的职业认可度。</w:t>
      </w:r>
    </w:p>
    <w:p w14:paraId="4A71E73D">
      <w:pPr>
        <w:pStyle w:val="3"/>
        <w:numPr>
          <w:ilvl w:val="0"/>
          <w:numId w:val="9"/>
        </w:numPr>
        <w:bidi w:val="0"/>
        <w:ind w:left="-420" w:leftChars="0" w:firstLine="420" w:firstLineChars="0"/>
        <w:rPr>
          <w:rFonts w:hint="eastAsia"/>
        </w:rPr>
      </w:pPr>
      <w:bookmarkStart w:id="13" w:name="_Toc17669"/>
      <w:r>
        <w:rPr>
          <w:rFonts w:hint="eastAsia"/>
        </w:rPr>
        <w:t>实践教学体系与产教融合机制</w:t>
      </w:r>
      <w:bookmarkEnd w:id="13"/>
    </w:p>
    <w:p w14:paraId="0B36FCFF">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践教学是数字媒体专业人才培养的关键环节，而产教融合是提升实践教学质量的核心机制。当前不少院校的实践教学仍存在“重设备、轻机制”“有合作、无融合”等问题（申冰，2021）。构建科学的实践教学体系，需从平台、项目、师资、评价四方面系统推进。</w:t>
      </w:r>
    </w:p>
    <w:p w14:paraId="37EB386B">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首先，应搭建多层次实践平台，包括校内实训基地、企业工作站、虚拟仿真实验室等。校内平台应模拟真实生产环境，配备行业主流软硬件设备；校外平台则通过校企合作共建“生产性实训基地”，承接企业真实项目。顾东洋（2019）提出，建立深度的校企合作机制，让学生参与真实项目策划与执行，是培养应用型人才的有效途径。例如，在“数字三维场景设计”教学中，可引入建筑可视化或游戏场景项目，由企业导师与校内教师共同指导。</w:t>
      </w:r>
    </w:p>
    <w:p w14:paraId="5AB213E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次，实践教学应以项目为主线，形成“课程项目—专项实训—毕业设计—企业实习”四阶递进的项目链。低年级以模拟项目为主，重在技术熟练度训练；高年级则逐步过渡到真实项目，强调创新解决与团队协作。刘丽萍（2023）在研究中也指出，标准化、项目化的实践流程有助于提高人才培养的质量可控性。</w:t>
      </w:r>
    </w:p>
    <w:p w14:paraId="5BE9686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应构建“双师型”教学团队，通过“内培外引”提升教师实践指导能力。内培方面，鼓励教师赴企业挂职、参与技术培训；外引方面，聘请行业专家担任产业导师，参与课程设计、项目指导与毕业答辩。艾伯泉（</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）强调，复合型师资团队是数字媒体专业群建设的重要支撑。</w:t>
      </w:r>
    </w:p>
    <w:p w14:paraId="68E1881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最后，应建立产教融合质量评价机制，包括企业满意度调查、毕业生跟踪反馈、项目成果评估等。评价结果用于持续优化实践教学内容与合作模式，形成“教学—实践—反馈—改进”的闭环管理。通过深化产教融合，数字媒体专业才能真正实现人才培养与行业需求的无缝对接，为产业升级提供高质量人才支撑。</w:t>
      </w:r>
    </w:p>
    <w:p w14:paraId="11CFE648">
      <w:pPr>
        <w:pStyle w:val="2"/>
        <w:numPr>
          <w:ilvl w:val="0"/>
          <w:numId w:val="0"/>
        </w:numPr>
        <w:bidi w:val="0"/>
        <w:rPr>
          <w:rFonts w:hint="eastAsia"/>
        </w:rPr>
      </w:pPr>
      <w:bookmarkStart w:id="14" w:name="_Toc10501"/>
      <w:r>
        <w:rPr>
          <w:rFonts w:hint="eastAsia" w:eastAsia="宋体" w:asciiTheme="majorAscii" w:hAnsiTheme="majorAscii" w:cstheme="majorBidi"/>
          <w:b/>
          <w:bCs/>
          <w:color w:val="000000"/>
          <w:sz w:val="32"/>
          <w:szCs w:val="28"/>
          <w:lang w:val="en-US" w:eastAsia="en-US" w:bidi="ar-SA"/>
        </w:rPr>
        <w:t>一、</w:t>
      </w:r>
      <w:r>
        <w:rPr>
          <w:rFonts w:hint="eastAsia"/>
        </w:rPr>
        <w:t>结论与实施建议</w:t>
      </w:r>
      <w:bookmarkEnd w:id="14"/>
    </w:p>
    <w:p w14:paraId="7D11BAC6">
      <w:pPr>
        <w:pStyle w:val="3"/>
        <w:numPr>
          <w:ilvl w:val="0"/>
          <w:numId w:val="10"/>
        </w:numPr>
        <w:bidi w:val="0"/>
        <w:ind w:left="-420" w:leftChars="0" w:firstLine="420" w:firstLineChars="0"/>
        <w:rPr>
          <w:rFonts w:hint="eastAsia"/>
        </w:rPr>
      </w:pPr>
      <w:bookmarkStart w:id="15" w:name="_Toc23644"/>
      <w:r>
        <w:rPr>
          <w:rFonts w:hint="eastAsia"/>
        </w:rPr>
        <w:t>调研主要发现与核心结论</w:t>
      </w:r>
      <w:bookmarkEnd w:id="15"/>
    </w:p>
    <w:p w14:paraId="5ADB665E">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针对数字媒体专业大专学历教育的调研，聚焦于交互界面设计技术、商业摄影与蓝绿屏拍摄技术、数字三维场景设计、MG动画制作技术、音视频处理技术、影视剪辑实训、影视特效制作与合成、数字三维角色设计、光影与质感表现技术、三维动画制作技术、三维影视广告制作、三维资产制作实训、720全景拍摄与缝合技术等13个细分领域，通过多种调研方法的综合运用，获得了关于行业岗位需求与人才培养现状的系统性认识。调研的主要发现与核心结论可归纳如下：</w:t>
      </w:r>
    </w:p>
    <w:p w14:paraId="3E58967C">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首先，数字媒体产业正处于高速发展与深刻变革时期，新技术、新业态、新岗位不断涌现，对人才的知识结构、能力素质和技能水平提出了更高、更综合的要求。单淮峰（2013）的研究强调了“以能力为本位”的重要性，而本次调研发现，当前市场对数字媒体人才的需求已从单一技能操作转向复合能力应用，尤其强调创意设计能力、技术实现能力与项目协作能力的有机统一。例如，在交互界面设计技术领域，企业不仅要求设计师掌握UI/UX设计工具，更要求其具备用户心理分析、交互逻辑设计和前端开发基础的理解能力；在三维影视广告制作领域，岗位需求已从简单的模型制作扩展到涵盖创意策划、三维资产制作、光影渲染、后期合成乃至营销策略理解的完整链条。杨哲（2013）所提出的“数媒产品设计与开发能力、基本艺术素养、专业发展能力”等核心能力，在本次调研的各个细分领域中都得到了印证和细化，表明构建以核心能力为导向的人才培养体系具有紧迫性和必要性。</w:t>
      </w:r>
    </w:p>
    <w:p w14:paraId="4D67E068">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次，现行大专层次数字媒体专业人才培养方案与产业实际需求之间存在一定程度的脱节。张宝升（2021）通过对岗位职业能力的分析指出，实现“精准育人”是关键。调研发现，部分院校的课程设置仍偏重传统软件技能的传授，缺乏对行业最新动态和技术前沿（如AIGC在内容生成中的应用、实时渲染技术的普及）的及时响应，导致毕业生所学技能与岗位实际要求存在差距。特别是在影视特效制作与合成、720全景拍摄与缝合等前沿技术领域，学校的实训条件、课程内容与行业一线实践存在滞后。刘悦（电子测试）关于“教学做合一”模式的研究，突显了实践教学在衔接理论与岗位中的重要性，但调研显示，实践教学的深度、广度以及与真实项目的结合度仍需加强。</w:t>
      </w:r>
    </w:p>
    <w:p w14:paraId="1816757F">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第三，产教融合是提升人才培养质量的关键路径，但其深度和广度有待拓展。施丽娜（</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在产教融合视域下强调了校企合作的重要性。调研结果表明，虽然多数院校已意识到产教融合的重要性，并开展了形式多样的校企合作，但合作多停留在见习、实习等浅层次，缺乏在课程共建、师资共享、技术共研等方面的深度融合。企业真实项目引入教学的比例不高，学生在校期间难以积累足够的项目经验，影响了其岗位适应能力和职业发展潜力。李振华（2013）在其实训教程中倡导的项目案例驱动教学法，在实际执行中往往因项目真实性、复杂性不足而效果受限。</w:t>
      </w:r>
    </w:p>
    <w:p w14:paraId="7C718632">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四，数字媒体专业细分领域之间的交叉融合趋势日益明显，要求人才培养具备跨领域的知识视野和协作能力。调研发现，例如，MG动画制作技术往往需要与音视频处理技术、影视剪辑技术紧密结合；三维影视广告制作则涉及三维场景设计、角色设计、动画制作、光影渲染乃至后期合成的多个环节。这种融合性要求课程体系不能是孤立的技能模块堆砌，而应设计成有机联系、能够模拟真实工作流程的项目化课程群。杨伟杰（2016）提出的“二维双核、项目驱动、分段递进”模式，以及刘曼（2019）在双创背景下强调的跨学科融合，都为应对这一趋势提供了有益参考。</w:t>
      </w:r>
    </w:p>
    <w:tbl>
      <w:tblPr>
        <w:tblStyle w:val="13"/>
        <w:tblW w:w="5000" w:type="pct"/>
        <w:tblInd w:w="0" w:type="dxa"/>
        <w:tblLayout w:type="autofit"/>
        <w:tblCellMar>
          <w:top w:w="0" w:type="dxa"/>
          <w:left w:w="108" w:type="dxa"/>
          <w:bottom w:w="0" w:type="dxa"/>
          <w:right w:w="108" w:type="dxa"/>
        </w:tblCellMar>
      </w:tblPr>
      <w:tblGrid>
        <w:gridCol w:w="1178"/>
        <w:gridCol w:w="1318"/>
        <w:gridCol w:w="1127"/>
        <w:gridCol w:w="2939"/>
        <w:gridCol w:w="1021"/>
        <w:gridCol w:w="939"/>
      </w:tblGrid>
      <w:tr w14:paraId="56EB1056">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640477C">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细分领域</w:t>
            </w:r>
          </w:p>
        </w:tc>
        <w:tc>
          <w:tcPr>
            <w:tcBorders>
              <w:top w:val="single" w:color="222222" w:sz="6" w:space="0"/>
              <w:left w:val="single" w:color="222222" w:sz="6" w:space="0"/>
              <w:bottom w:val="single" w:color="222222" w:sz="6" w:space="0"/>
              <w:right w:val="single" w:color="222222" w:sz="6" w:space="0"/>
            </w:tcBorders>
          </w:tcPr>
          <w:p w14:paraId="100069B6">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核心能力</w:t>
            </w:r>
          </w:p>
        </w:tc>
        <w:tc>
          <w:tcPr>
            <w:tcBorders>
              <w:top w:val="single" w:color="222222" w:sz="6" w:space="0"/>
              <w:left w:val="single" w:color="222222" w:sz="6" w:space="0"/>
              <w:bottom w:val="single" w:color="222222" w:sz="6" w:space="0"/>
              <w:right w:val="single" w:color="222222" w:sz="6" w:space="0"/>
            </w:tcBorders>
          </w:tcPr>
          <w:p w14:paraId="4C3100D6">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典型岗位</w:t>
            </w:r>
          </w:p>
        </w:tc>
        <w:tc>
          <w:tcPr>
            <w:tcBorders>
              <w:top w:val="single" w:color="222222" w:sz="6" w:space="0"/>
              <w:left w:val="single" w:color="222222" w:sz="6" w:space="0"/>
              <w:bottom w:val="single" w:color="222222" w:sz="6" w:space="0"/>
              <w:right w:val="single" w:color="222222" w:sz="6" w:space="0"/>
            </w:tcBorders>
          </w:tcPr>
          <w:p w14:paraId="4E7F1CE4">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关键技能要求</w:t>
            </w:r>
          </w:p>
        </w:tc>
        <w:tc>
          <w:tcPr>
            <w:tcBorders>
              <w:top w:val="single" w:color="222222" w:sz="6" w:space="0"/>
              <w:left w:val="single" w:color="222222" w:sz="6" w:space="0"/>
              <w:bottom w:val="single" w:color="222222" w:sz="6" w:space="0"/>
              <w:right w:val="single" w:color="222222" w:sz="6" w:space="0"/>
            </w:tcBorders>
          </w:tcPr>
          <w:p w14:paraId="46D4F7F0">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相关课程/培养重点</w:t>
            </w:r>
          </w:p>
        </w:tc>
        <w:tc>
          <w:tcPr>
            <w:tcBorders>
              <w:top w:val="single" w:color="222222" w:sz="6" w:space="0"/>
              <w:left w:val="single" w:color="222222" w:sz="6" w:space="0"/>
              <w:bottom w:val="single" w:color="222222" w:sz="6" w:space="0"/>
              <w:right w:val="single" w:color="222222" w:sz="6" w:space="0"/>
            </w:tcBorders>
          </w:tcPr>
          <w:p w14:paraId="2A9DD79B">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行业应用方向</w:t>
            </w:r>
          </w:p>
        </w:tc>
      </w:tr>
      <w:tr w14:paraId="30D84493">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1BE7BAC">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数字媒体技术应用</w:t>
            </w:r>
          </w:p>
        </w:tc>
        <w:tc>
          <w:tcPr>
            <w:tcBorders>
              <w:top w:val="single" w:color="222222" w:sz="6" w:space="0"/>
              <w:left w:val="single" w:color="222222" w:sz="6" w:space="0"/>
              <w:bottom w:val="single" w:color="222222" w:sz="6" w:space="0"/>
              <w:right w:val="single" w:color="222222" w:sz="6" w:space="0"/>
            </w:tcBorders>
          </w:tcPr>
          <w:p w14:paraId="1F1C6971">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数媒产品设计与开发能力、基本艺术素养、专业发展能力</w:t>
            </w:r>
          </w:p>
        </w:tc>
        <w:tc>
          <w:tcPr>
            <w:tcBorders>
              <w:top w:val="single" w:color="222222" w:sz="6" w:space="0"/>
              <w:left w:val="single" w:color="222222" w:sz="6" w:space="0"/>
              <w:bottom w:val="single" w:color="222222" w:sz="6" w:space="0"/>
              <w:right w:val="single" w:color="222222" w:sz="6" w:space="0"/>
            </w:tcBorders>
          </w:tcPr>
          <w:p w14:paraId="628B8F0A">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数字媒体技术员、多媒体设计师</w:t>
            </w:r>
          </w:p>
        </w:tc>
        <w:tc>
          <w:tcPr>
            <w:tcBorders>
              <w:top w:val="single" w:color="222222" w:sz="6" w:space="0"/>
              <w:left w:val="single" w:color="222222" w:sz="6" w:space="0"/>
              <w:bottom w:val="single" w:color="222222" w:sz="6" w:space="0"/>
              <w:right w:val="single" w:color="222222" w:sz="6" w:space="0"/>
            </w:tcBorders>
          </w:tcPr>
          <w:p w14:paraId="1F6F8BCA">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多媒体制作、交互设计、编程基础</w:t>
            </w:r>
          </w:p>
        </w:tc>
        <w:tc>
          <w:tcPr>
            <w:tcBorders>
              <w:top w:val="single" w:color="222222" w:sz="6" w:space="0"/>
              <w:left w:val="single" w:color="222222" w:sz="6" w:space="0"/>
              <w:bottom w:val="single" w:color="222222" w:sz="6" w:space="0"/>
              <w:right w:val="single" w:color="222222" w:sz="6" w:space="0"/>
            </w:tcBorders>
          </w:tcPr>
          <w:p w14:paraId="5CEA6474">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核心课程+教学项目、公共课程</w:t>
            </w:r>
          </w:p>
        </w:tc>
        <w:tc>
          <w:tcPr>
            <w:tcBorders>
              <w:top w:val="single" w:color="222222" w:sz="6" w:space="0"/>
              <w:left w:val="single" w:color="222222" w:sz="6" w:space="0"/>
              <w:bottom w:val="single" w:color="222222" w:sz="6" w:space="0"/>
              <w:right w:val="single" w:color="222222" w:sz="6" w:space="0"/>
            </w:tcBorders>
          </w:tcPr>
          <w:p w14:paraId="462763FC">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影视制作、广告设计</w:t>
            </w:r>
          </w:p>
        </w:tc>
      </w:tr>
      <w:tr w14:paraId="4581B99E">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70C5E5CC">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现代教育技术</w:t>
            </w:r>
          </w:p>
        </w:tc>
        <w:tc>
          <w:tcPr>
            <w:tcBorders>
              <w:top w:val="single" w:color="222222" w:sz="6" w:space="0"/>
              <w:left w:val="single" w:color="222222" w:sz="6" w:space="0"/>
              <w:bottom w:val="single" w:color="222222" w:sz="6" w:space="0"/>
              <w:right w:val="single" w:color="222222" w:sz="6" w:space="0"/>
            </w:tcBorders>
          </w:tcPr>
          <w:p w14:paraId="6929DD05">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教育信息化整合能力、数字媒体技术应用能力</w:t>
            </w:r>
          </w:p>
        </w:tc>
        <w:tc>
          <w:tcPr>
            <w:tcBorders>
              <w:top w:val="single" w:color="222222" w:sz="6" w:space="0"/>
              <w:left w:val="single" w:color="222222" w:sz="6" w:space="0"/>
              <w:bottom w:val="single" w:color="222222" w:sz="6" w:space="0"/>
              <w:right w:val="single" w:color="222222" w:sz="6" w:space="0"/>
            </w:tcBorders>
          </w:tcPr>
          <w:p w14:paraId="4FAE94F3">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教育技术专员、在线教育设计师</w:t>
            </w:r>
          </w:p>
        </w:tc>
        <w:tc>
          <w:tcPr>
            <w:tcBorders>
              <w:top w:val="single" w:color="222222" w:sz="6" w:space="0"/>
              <w:left w:val="single" w:color="222222" w:sz="6" w:space="0"/>
              <w:bottom w:val="single" w:color="222222" w:sz="6" w:space="0"/>
              <w:right w:val="single" w:color="222222" w:sz="6" w:space="0"/>
            </w:tcBorders>
          </w:tcPr>
          <w:p w14:paraId="026A66F5">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课件开发、教育软件应用、在线平台维护</w:t>
            </w:r>
          </w:p>
        </w:tc>
        <w:tc>
          <w:tcPr>
            <w:tcBorders>
              <w:top w:val="single" w:color="222222" w:sz="6" w:space="0"/>
              <w:left w:val="single" w:color="222222" w:sz="6" w:space="0"/>
              <w:bottom w:val="single" w:color="222222" w:sz="6" w:space="0"/>
              <w:right w:val="single" w:color="222222" w:sz="6" w:space="0"/>
            </w:tcBorders>
          </w:tcPr>
          <w:p w14:paraId="483352FF">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二维双核、项目驱动、分段递进</w:t>
            </w:r>
          </w:p>
        </w:tc>
        <w:tc>
          <w:tcPr>
            <w:tcBorders>
              <w:top w:val="single" w:color="222222" w:sz="6" w:space="0"/>
              <w:left w:val="single" w:color="222222" w:sz="6" w:space="0"/>
              <w:bottom w:val="single" w:color="222222" w:sz="6" w:space="0"/>
              <w:right w:val="single" w:color="222222" w:sz="6" w:space="0"/>
            </w:tcBorders>
          </w:tcPr>
          <w:p w14:paraId="380786C1">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在线教育、教育信息化</w:t>
            </w:r>
          </w:p>
        </w:tc>
      </w:tr>
      <w:tr w14:paraId="37BC9222">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EEBA46A">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数字媒体艺术设计</w:t>
            </w:r>
          </w:p>
        </w:tc>
        <w:tc>
          <w:tcPr>
            <w:tcBorders>
              <w:top w:val="single" w:color="222222" w:sz="6" w:space="0"/>
              <w:left w:val="single" w:color="222222" w:sz="6" w:space="0"/>
              <w:bottom w:val="single" w:color="222222" w:sz="6" w:space="0"/>
              <w:right w:val="single" w:color="222222" w:sz="6" w:space="0"/>
            </w:tcBorders>
          </w:tcPr>
          <w:p w14:paraId="3D65F08A">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创意设计能力、文化创意产业整合能力</w:t>
            </w:r>
          </w:p>
        </w:tc>
        <w:tc>
          <w:tcPr>
            <w:tcBorders>
              <w:top w:val="single" w:color="222222" w:sz="6" w:space="0"/>
              <w:left w:val="single" w:color="222222" w:sz="6" w:space="0"/>
              <w:bottom w:val="single" w:color="222222" w:sz="6" w:space="0"/>
              <w:right w:val="single" w:color="222222" w:sz="6" w:space="0"/>
            </w:tcBorders>
          </w:tcPr>
          <w:p w14:paraId="45C7BB8C">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艺术设计师、创意总监</w:t>
            </w:r>
          </w:p>
        </w:tc>
        <w:tc>
          <w:tcPr>
            <w:tcBorders>
              <w:top w:val="single" w:color="222222" w:sz="6" w:space="0"/>
              <w:left w:val="single" w:color="222222" w:sz="6" w:space="0"/>
              <w:bottom w:val="single" w:color="222222" w:sz="6" w:space="0"/>
              <w:right w:val="single" w:color="222222" w:sz="6" w:space="0"/>
            </w:tcBorders>
          </w:tcPr>
          <w:p w14:paraId="72457471">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平面设计、3D建模、动画制作</w:t>
            </w:r>
          </w:p>
        </w:tc>
        <w:tc>
          <w:tcPr>
            <w:tcBorders>
              <w:top w:val="single" w:color="222222" w:sz="6" w:space="0"/>
              <w:left w:val="single" w:color="222222" w:sz="6" w:space="0"/>
              <w:bottom w:val="single" w:color="222222" w:sz="6" w:space="0"/>
              <w:right w:val="single" w:color="222222" w:sz="6" w:space="0"/>
            </w:tcBorders>
          </w:tcPr>
          <w:p w14:paraId="52B42940">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双创背景下的项目化教学</w:t>
            </w:r>
          </w:p>
        </w:tc>
        <w:tc>
          <w:tcPr>
            <w:tcBorders>
              <w:top w:val="single" w:color="222222" w:sz="6" w:space="0"/>
              <w:left w:val="single" w:color="222222" w:sz="6" w:space="0"/>
              <w:bottom w:val="single" w:color="222222" w:sz="6" w:space="0"/>
              <w:right w:val="single" w:color="222222" w:sz="6" w:space="0"/>
            </w:tcBorders>
          </w:tcPr>
          <w:p w14:paraId="1C1D0574">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文化创意产业、广告传媒</w:t>
            </w:r>
          </w:p>
        </w:tc>
      </w:tr>
      <w:tr w14:paraId="041873E2">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921CFE4">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影视制作</w:t>
            </w:r>
          </w:p>
        </w:tc>
        <w:tc>
          <w:tcPr>
            <w:tcBorders>
              <w:top w:val="single" w:color="222222" w:sz="6" w:space="0"/>
              <w:left w:val="single" w:color="222222" w:sz="6" w:space="0"/>
              <w:bottom w:val="single" w:color="222222" w:sz="6" w:space="0"/>
              <w:right w:val="single" w:color="222222" w:sz="6" w:space="0"/>
            </w:tcBorders>
          </w:tcPr>
          <w:p w14:paraId="2BBFB1F7">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影视后期制作能力、镜头语言表达能力</w:t>
            </w:r>
          </w:p>
        </w:tc>
        <w:tc>
          <w:tcPr>
            <w:tcBorders>
              <w:top w:val="single" w:color="222222" w:sz="6" w:space="0"/>
              <w:left w:val="single" w:color="222222" w:sz="6" w:space="0"/>
              <w:bottom w:val="single" w:color="222222" w:sz="6" w:space="0"/>
              <w:right w:val="single" w:color="222222" w:sz="6" w:space="0"/>
            </w:tcBorders>
          </w:tcPr>
          <w:p w14:paraId="549BCDF0">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影视剪辑师、特效合成师</w:t>
            </w:r>
          </w:p>
        </w:tc>
        <w:tc>
          <w:tcPr>
            <w:tcBorders>
              <w:top w:val="single" w:color="222222" w:sz="6" w:space="0"/>
              <w:left w:val="single" w:color="222222" w:sz="6" w:space="0"/>
              <w:bottom w:val="single" w:color="222222" w:sz="6" w:space="0"/>
              <w:right w:val="single" w:color="222222" w:sz="6" w:space="0"/>
            </w:tcBorders>
          </w:tcPr>
          <w:p w14:paraId="2CEC4197">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After Effects、Premiere、摄影技术</w:t>
            </w:r>
          </w:p>
        </w:tc>
        <w:tc>
          <w:tcPr>
            <w:tcBorders>
              <w:top w:val="single" w:color="222222" w:sz="6" w:space="0"/>
              <w:left w:val="single" w:color="222222" w:sz="6" w:space="0"/>
              <w:bottom w:val="single" w:color="222222" w:sz="6" w:space="0"/>
              <w:right w:val="single" w:color="222222" w:sz="6" w:space="0"/>
            </w:tcBorders>
          </w:tcPr>
          <w:p w14:paraId="632649C6">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教学做合一、案例驱动</w:t>
            </w:r>
          </w:p>
        </w:tc>
        <w:tc>
          <w:tcPr>
            <w:tcBorders>
              <w:top w:val="single" w:color="222222" w:sz="6" w:space="0"/>
              <w:left w:val="single" w:color="222222" w:sz="6" w:space="0"/>
              <w:bottom w:val="single" w:color="222222" w:sz="6" w:space="0"/>
              <w:right w:val="single" w:color="222222" w:sz="6" w:space="0"/>
            </w:tcBorders>
          </w:tcPr>
          <w:p w14:paraId="0D915954">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影视传媒、短视频制作</w:t>
            </w:r>
          </w:p>
        </w:tc>
      </w:tr>
      <w:tr w14:paraId="728E00DA">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0F44BA2F">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虚拟现实(VR/AR)</w:t>
            </w:r>
          </w:p>
        </w:tc>
        <w:tc>
          <w:tcPr>
            <w:tcBorders>
              <w:top w:val="single" w:color="222222" w:sz="6" w:space="0"/>
              <w:left w:val="single" w:color="222222" w:sz="6" w:space="0"/>
              <w:bottom w:val="single" w:color="222222" w:sz="6" w:space="0"/>
              <w:right w:val="single" w:color="222222" w:sz="6" w:space="0"/>
            </w:tcBorders>
          </w:tcPr>
          <w:p w14:paraId="23E347D0">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虚拟场景构建能力、交互逻辑设计能力</w:t>
            </w:r>
          </w:p>
        </w:tc>
        <w:tc>
          <w:tcPr>
            <w:tcBorders>
              <w:top w:val="single" w:color="222222" w:sz="6" w:space="0"/>
              <w:left w:val="single" w:color="222222" w:sz="6" w:space="0"/>
              <w:bottom w:val="single" w:color="222222" w:sz="6" w:space="0"/>
              <w:right w:val="single" w:color="222222" w:sz="6" w:space="0"/>
            </w:tcBorders>
          </w:tcPr>
          <w:p w14:paraId="637DA455">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VR开发工程师、AR设计师</w:t>
            </w:r>
          </w:p>
        </w:tc>
        <w:tc>
          <w:tcPr>
            <w:tcBorders>
              <w:top w:val="single" w:color="222222" w:sz="6" w:space="0"/>
              <w:left w:val="single" w:color="222222" w:sz="6" w:space="0"/>
              <w:bottom w:val="single" w:color="222222" w:sz="6" w:space="0"/>
              <w:right w:val="single" w:color="222222" w:sz="6" w:space="0"/>
            </w:tcBorders>
          </w:tcPr>
          <w:p w14:paraId="0D183F8B">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Unity3D、Unreal Engine、3D建模</w:t>
            </w:r>
          </w:p>
        </w:tc>
        <w:tc>
          <w:tcPr>
            <w:tcBorders>
              <w:top w:val="single" w:color="222222" w:sz="6" w:space="0"/>
              <w:left w:val="single" w:color="222222" w:sz="6" w:space="0"/>
              <w:bottom w:val="single" w:color="222222" w:sz="6" w:space="0"/>
              <w:right w:val="single" w:color="222222" w:sz="6" w:space="0"/>
            </w:tcBorders>
          </w:tcPr>
          <w:p w14:paraId="63F99CFD">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项目案例驱动、实训教学</w:t>
            </w:r>
          </w:p>
        </w:tc>
        <w:tc>
          <w:tcPr>
            <w:tcBorders>
              <w:top w:val="single" w:color="222222" w:sz="6" w:space="0"/>
              <w:left w:val="single" w:color="222222" w:sz="6" w:space="0"/>
              <w:bottom w:val="single" w:color="222222" w:sz="6" w:space="0"/>
              <w:right w:val="single" w:color="222222" w:sz="6" w:space="0"/>
            </w:tcBorders>
          </w:tcPr>
          <w:p w14:paraId="101419D1">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游戏开发、虚拟仿真</w:t>
            </w:r>
          </w:p>
        </w:tc>
      </w:tr>
      <w:tr w14:paraId="4782ABD8">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55D3ADE0">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互动媒体设计</w:t>
            </w:r>
          </w:p>
        </w:tc>
        <w:tc>
          <w:tcPr>
            <w:tcBorders>
              <w:top w:val="single" w:color="222222" w:sz="6" w:space="0"/>
              <w:left w:val="single" w:color="222222" w:sz="6" w:space="0"/>
              <w:bottom w:val="single" w:color="222222" w:sz="6" w:space="0"/>
              <w:right w:val="single" w:color="222222" w:sz="6" w:space="0"/>
            </w:tcBorders>
          </w:tcPr>
          <w:p w14:paraId="02296456">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用户体验设计能力、交互原型开发能力</w:t>
            </w:r>
          </w:p>
        </w:tc>
        <w:tc>
          <w:tcPr>
            <w:tcBorders>
              <w:top w:val="single" w:color="222222" w:sz="6" w:space="0"/>
              <w:left w:val="single" w:color="222222" w:sz="6" w:space="0"/>
              <w:bottom w:val="single" w:color="222222" w:sz="6" w:space="0"/>
              <w:right w:val="single" w:color="222222" w:sz="6" w:space="0"/>
            </w:tcBorders>
          </w:tcPr>
          <w:p w14:paraId="4DCD7CAA">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UI/UX设计师、交互设计师</w:t>
            </w:r>
          </w:p>
        </w:tc>
        <w:tc>
          <w:tcPr>
            <w:tcBorders>
              <w:top w:val="single" w:color="222222" w:sz="6" w:space="0"/>
              <w:left w:val="single" w:color="222222" w:sz="6" w:space="0"/>
              <w:bottom w:val="single" w:color="222222" w:sz="6" w:space="0"/>
              <w:right w:val="single" w:color="222222" w:sz="6" w:space="0"/>
            </w:tcBorders>
          </w:tcPr>
          <w:p w14:paraId="6535D6B4">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用户研究、原型设计、前端开发基础</w:t>
            </w:r>
          </w:p>
        </w:tc>
        <w:tc>
          <w:tcPr>
            <w:tcBorders>
              <w:top w:val="single" w:color="222222" w:sz="6" w:space="0"/>
              <w:left w:val="single" w:color="222222" w:sz="6" w:space="0"/>
              <w:bottom w:val="single" w:color="222222" w:sz="6" w:space="0"/>
              <w:right w:val="single" w:color="222222" w:sz="6" w:space="0"/>
            </w:tcBorders>
          </w:tcPr>
          <w:p w14:paraId="7F43C1B0">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工作导向课程体系</w:t>
            </w:r>
          </w:p>
        </w:tc>
        <w:tc>
          <w:tcPr>
            <w:tcBorders>
              <w:top w:val="single" w:color="222222" w:sz="6" w:space="0"/>
              <w:left w:val="single" w:color="222222" w:sz="6" w:space="0"/>
              <w:bottom w:val="single" w:color="222222" w:sz="6" w:space="0"/>
              <w:right w:val="single" w:color="222222" w:sz="6" w:space="0"/>
            </w:tcBorders>
          </w:tcPr>
          <w:p w14:paraId="610F71DD">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互联网产品、移动应用</w:t>
            </w:r>
          </w:p>
        </w:tc>
      </w:tr>
      <w:tr w14:paraId="30F81694">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0ACCD58">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数字动画</w:t>
            </w:r>
          </w:p>
        </w:tc>
        <w:tc>
          <w:tcPr>
            <w:tcBorders>
              <w:top w:val="single" w:color="222222" w:sz="6" w:space="0"/>
              <w:left w:val="single" w:color="222222" w:sz="6" w:space="0"/>
              <w:bottom w:val="single" w:color="222222" w:sz="6" w:space="0"/>
              <w:right w:val="single" w:color="222222" w:sz="6" w:space="0"/>
            </w:tcBorders>
          </w:tcPr>
          <w:p w14:paraId="3CB2AA6E">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角色动画制作能力、运动规律掌握能力</w:t>
            </w:r>
          </w:p>
        </w:tc>
        <w:tc>
          <w:tcPr>
            <w:tcBorders>
              <w:top w:val="single" w:color="222222" w:sz="6" w:space="0"/>
              <w:left w:val="single" w:color="222222" w:sz="6" w:space="0"/>
              <w:bottom w:val="single" w:color="222222" w:sz="6" w:space="0"/>
              <w:right w:val="single" w:color="222222" w:sz="6" w:space="0"/>
            </w:tcBorders>
          </w:tcPr>
          <w:p w14:paraId="38E82752">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动画师、分镜设计师</w:t>
            </w:r>
          </w:p>
        </w:tc>
        <w:tc>
          <w:tcPr>
            <w:tcBorders>
              <w:top w:val="single" w:color="222222" w:sz="6" w:space="0"/>
              <w:left w:val="single" w:color="222222" w:sz="6" w:space="0"/>
              <w:bottom w:val="single" w:color="222222" w:sz="6" w:space="0"/>
              <w:right w:val="single" w:color="222222" w:sz="6" w:space="0"/>
            </w:tcBorders>
          </w:tcPr>
          <w:p w14:paraId="6F5DA5B4">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Maya、Blender、动画原理</w:t>
            </w:r>
          </w:p>
        </w:tc>
        <w:tc>
          <w:tcPr>
            <w:tcBorders>
              <w:top w:val="single" w:color="222222" w:sz="6" w:space="0"/>
              <w:left w:val="single" w:color="222222" w:sz="6" w:space="0"/>
              <w:bottom w:val="single" w:color="222222" w:sz="6" w:space="0"/>
              <w:right w:val="single" w:color="222222" w:sz="6" w:space="0"/>
            </w:tcBorders>
          </w:tcPr>
          <w:p w14:paraId="4807E5ED">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艺术与技术结合培养</w:t>
            </w:r>
          </w:p>
        </w:tc>
        <w:tc>
          <w:tcPr>
            <w:tcBorders>
              <w:top w:val="single" w:color="222222" w:sz="6" w:space="0"/>
              <w:left w:val="single" w:color="222222" w:sz="6" w:space="0"/>
              <w:bottom w:val="single" w:color="222222" w:sz="6" w:space="0"/>
              <w:right w:val="single" w:color="222222" w:sz="6" w:space="0"/>
            </w:tcBorders>
          </w:tcPr>
          <w:p w14:paraId="4BAD1803">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动画电影、游戏美术</w:t>
            </w:r>
          </w:p>
        </w:tc>
      </w:tr>
      <w:tr w14:paraId="788B007B">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654A20FB">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新媒体运营</w:t>
            </w:r>
          </w:p>
        </w:tc>
        <w:tc>
          <w:tcPr>
            <w:tcBorders>
              <w:top w:val="single" w:color="222222" w:sz="6" w:space="0"/>
              <w:left w:val="single" w:color="222222" w:sz="6" w:space="0"/>
              <w:bottom w:val="single" w:color="222222" w:sz="6" w:space="0"/>
              <w:right w:val="single" w:color="222222" w:sz="6" w:space="0"/>
            </w:tcBorders>
          </w:tcPr>
          <w:p w14:paraId="6C75762F">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内容策划能力、数据分析能力</w:t>
            </w:r>
          </w:p>
        </w:tc>
        <w:tc>
          <w:tcPr>
            <w:tcBorders>
              <w:top w:val="single" w:color="222222" w:sz="6" w:space="0"/>
              <w:left w:val="single" w:color="222222" w:sz="6" w:space="0"/>
              <w:bottom w:val="single" w:color="222222" w:sz="6" w:space="0"/>
              <w:right w:val="single" w:color="222222" w:sz="6" w:space="0"/>
            </w:tcBorders>
          </w:tcPr>
          <w:p w14:paraId="15931125">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新媒体运营专员、内容策划</w:t>
            </w:r>
          </w:p>
        </w:tc>
        <w:tc>
          <w:tcPr>
            <w:tcBorders>
              <w:top w:val="single" w:color="222222" w:sz="6" w:space="0"/>
              <w:left w:val="single" w:color="222222" w:sz="6" w:space="0"/>
              <w:bottom w:val="single" w:color="222222" w:sz="6" w:space="0"/>
              <w:right w:val="single" w:color="222222" w:sz="6" w:space="0"/>
            </w:tcBorders>
          </w:tcPr>
          <w:p w14:paraId="1F39A391">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社交媒体管理、文案写作、用户增长策略</w:t>
            </w:r>
          </w:p>
        </w:tc>
        <w:tc>
          <w:tcPr>
            <w:tcBorders>
              <w:top w:val="single" w:color="222222" w:sz="6" w:space="0"/>
              <w:left w:val="single" w:color="222222" w:sz="6" w:space="0"/>
              <w:bottom w:val="single" w:color="222222" w:sz="6" w:space="0"/>
              <w:right w:val="single" w:color="222222" w:sz="6" w:space="0"/>
            </w:tcBorders>
          </w:tcPr>
          <w:p w14:paraId="0B5E661C">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产教融合实践</w:t>
            </w:r>
          </w:p>
        </w:tc>
        <w:tc>
          <w:tcPr>
            <w:tcBorders>
              <w:top w:val="single" w:color="222222" w:sz="6" w:space="0"/>
              <w:left w:val="single" w:color="222222" w:sz="6" w:space="0"/>
              <w:bottom w:val="single" w:color="222222" w:sz="6" w:space="0"/>
              <w:right w:val="single" w:color="222222" w:sz="6" w:space="0"/>
            </w:tcBorders>
          </w:tcPr>
          <w:p w14:paraId="2CCF247E">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品牌营销、自媒体</w:t>
            </w:r>
          </w:p>
        </w:tc>
      </w:tr>
      <w:tr w14:paraId="138A0FF6">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652ECBF6">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游戏设计与开发</w:t>
            </w:r>
          </w:p>
        </w:tc>
        <w:tc>
          <w:tcPr>
            <w:tcBorders>
              <w:top w:val="single" w:color="222222" w:sz="6" w:space="0"/>
              <w:left w:val="single" w:color="222222" w:sz="6" w:space="0"/>
              <w:bottom w:val="single" w:color="222222" w:sz="6" w:space="0"/>
              <w:right w:val="single" w:color="222222" w:sz="6" w:space="0"/>
            </w:tcBorders>
          </w:tcPr>
          <w:p w14:paraId="4571F6F0">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游戏机制设计能力、游戏引擎应用能力</w:t>
            </w:r>
          </w:p>
        </w:tc>
        <w:tc>
          <w:tcPr>
            <w:tcBorders>
              <w:top w:val="single" w:color="222222" w:sz="6" w:space="0"/>
              <w:left w:val="single" w:color="222222" w:sz="6" w:space="0"/>
              <w:bottom w:val="single" w:color="222222" w:sz="6" w:space="0"/>
              <w:right w:val="single" w:color="222222" w:sz="6" w:space="0"/>
            </w:tcBorders>
          </w:tcPr>
          <w:p w14:paraId="30A75D9B">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游戏策划、游戏程序员</w:t>
            </w:r>
          </w:p>
        </w:tc>
        <w:tc>
          <w:tcPr>
            <w:tcBorders>
              <w:top w:val="single" w:color="222222" w:sz="6" w:space="0"/>
              <w:left w:val="single" w:color="222222" w:sz="6" w:space="0"/>
              <w:bottom w:val="single" w:color="222222" w:sz="6" w:space="0"/>
              <w:right w:val="single" w:color="222222" w:sz="6" w:space="0"/>
            </w:tcBorders>
          </w:tcPr>
          <w:p w14:paraId="58CC304F">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C#/C++编程、游戏物理系统、AI算法</w:t>
            </w:r>
          </w:p>
        </w:tc>
        <w:tc>
          <w:tcPr>
            <w:tcBorders>
              <w:top w:val="single" w:color="222222" w:sz="6" w:space="0"/>
              <w:left w:val="single" w:color="222222" w:sz="6" w:space="0"/>
              <w:bottom w:val="single" w:color="222222" w:sz="6" w:space="0"/>
              <w:right w:val="single" w:color="222222" w:sz="6" w:space="0"/>
            </w:tcBorders>
          </w:tcPr>
          <w:p w14:paraId="75C51E96">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核心技能课程体系</w:t>
            </w:r>
          </w:p>
        </w:tc>
        <w:tc>
          <w:tcPr>
            <w:tcBorders>
              <w:top w:val="single" w:color="222222" w:sz="6" w:space="0"/>
              <w:left w:val="single" w:color="222222" w:sz="6" w:space="0"/>
              <w:bottom w:val="single" w:color="222222" w:sz="6" w:space="0"/>
              <w:right w:val="single" w:color="222222" w:sz="6" w:space="0"/>
            </w:tcBorders>
          </w:tcPr>
          <w:p w14:paraId="341AEF43">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手游/端游开发</w:t>
            </w:r>
          </w:p>
        </w:tc>
      </w:tr>
      <w:tr w14:paraId="7FC0A5C5">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03C77507">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数字音效制作</w:t>
            </w:r>
          </w:p>
        </w:tc>
        <w:tc>
          <w:tcPr>
            <w:tcBorders>
              <w:top w:val="single" w:color="222222" w:sz="6" w:space="0"/>
              <w:left w:val="single" w:color="222222" w:sz="6" w:space="0"/>
              <w:bottom w:val="single" w:color="222222" w:sz="6" w:space="0"/>
              <w:right w:val="single" w:color="222222" w:sz="6" w:space="0"/>
            </w:tcBorders>
          </w:tcPr>
          <w:p w14:paraId="26345D6F">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音频处理能力、声音设计能力</w:t>
            </w:r>
          </w:p>
        </w:tc>
        <w:tc>
          <w:tcPr>
            <w:tcBorders>
              <w:top w:val="single" w:color="222222" w:sz="6" w:space="0"/>
              <w:left w:val="single" w:color="222222" w:sz="6" w:space="0"/>
              <w:bottom w:val="single" w:color="222222" w:sz="6" w:space="0"/>
              <w:right w:val="single" w:color="222222" w:sz="6" w:space="0"/>
            </w:tcBorders>
          </w:tcPr>
          <w:p w14:paraId="21B722CB">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音效师、混音师</w:t>
            </w:r>
          </w:p>
        </w:tc>
        <w:tc>
          <w:tcPr>
            <w:tcBorders>
              <w:top w:val="single" w:color="222222" w:sz="6" w:space="0"/>
              <w:left w:val="single" w:color="222222" w:sz="6" w:space="0"/>
              <w:bottom w:val="single" w:color="222222" w:sz="6" w:space="0"/>
              <w:right w:val="single" w:color="222222" w:sz="6" w:space="0"/>
            </w:tcBorders>
          </w:tcPr>
          <w:p w14:paraId="166A7B96">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Pro Tools、Audition、现场录音技术</w:t>
            </w:r>
          </w:p>
        </w:tc>
        <w:tc>
          <w:tcPr>
            <w:tcBorders>
              <w:top w:val="single" w:color="222222" w:sz="6" w:space="0"/>
              <w:left w:val="single" w:color="222222" w:sz="6" w:space="0"/>
              <w:bottom w:val="single" w:color="222222" w:sz="6" w:space="0"/>
              <w:right w:val="single" w:color="222222" w:sz="6" w:space="0"/>
            </w:tcBorders>
          </w:tcPr>
          <w:p w14:paraId="1244C1FB">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工作过程系统化课程</w:t>
            </w:r>
          </w:p>
        </w:tc>
        <w:tc>
          <w:tcPr>
            <w:tcBorders>
              <w:top w:val="single" w:color="222222" w:sz="6" w:space="0"/>
              <w:left w:val="single" w:color="222222" w:sz="6" w:space="0"/>
              <w:bottom w:val="single" w:color="222222" w:sz="6" w:space="0"/>
              <w:right w:val="single" w:color="222222" w:sz="6" w:space="0"/>
            </w:tcBorders>
          </w:tcPr>
          <w:p w14:paraId="15712142">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影视配乐、音乐制作</w:t>
            </w:r>
          </w:p>
        </w:tc>
      </w:tr>
      <w:tr w14:paraId="0480DEF8">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07B36986">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网页设计与开发</w:t>
            </w:r>
          </w:p>
        </w:tc>
        <w:tc>
          <w:tcPr>
            <w:tcBorders>
              <w:top w:val="single" w:color="222222" w:sz="6" w:space="0"/>
              <w:left w:val="single" w:color="222222" w:sz="6" w:space="0"/>
              <w:bottom w:val="single" w:color="222222" w:sz="6" w:space="0"/>
              <w:right w:val="single" w:color="222222" w:sz="6" w:space="0"/>
            </w:tcBorders>
          </w:tcPr>
          <w:p w14:paraId="6A351CF4">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响应式设计能力、前端开发能力</w:t>
            </w:r>
          </w:p>
        </w:tc>
        <w:tc>
          <w:tcPr>
            <w:tcBorders>
              <w:top w:val="single" w:color="222222" w:sz="6" w:space="0"/>
              <w:left w:val="single" w:color="222222" w:sz="6" w:space="0"/>
              <w:bottom w:val="single" w:color="222222" w:sz="6" w:space="0"/>
              <w:right w:val="single" w:color="222222" w:sz="6" w:space="0"/>
            </w:tcBorders>
          </w:tcPr>
          <w:p w14:paraId="0E02E8F6">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网页设计师、前端工程师</w:t>
            </w:r>
          </w:p>
        </w:tc>
        <w:tc>
          <w:tcPr>
            <w:tcBorders>
              <w:top w:val="single" w:color="222222" w:sz="6" w:space="0"/>
              <w:left w:val="single" w:color="222222" w:sz="6" w:space="0"/>
              <w:bottom w:val="single" w:color="222222" w:sz="6" w:space="0"/>
              <w:right w:val="single" w:color="222222" w:sz="6" w:space="0"/>
            </w:tcBorders>
          </w:tcPr>
          <w:p w14:paraId="2A239EF5">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HTML/CSS/JavaScript、CMS系统</w:t>
            </w:r>
          </w:p>
        </w:tc>
        <w:tc>
          <w:tcPr>
            <w:tcBorders>
              <w:top w:val="single" w:color="222222" w:sz="6" w:space="0"/>
              <w:left w:val="single" w:color="222222" w:sz="6" w:space="0"/>
              <w:bottom w:val="single" w:color="222222" w:sz="6" w:space="0"/>
              <w:right w:val="single" w:color="222222" w:sz="6" w:space="0"/>
            </w:tcBorders>
          </w:tcPr>
          <w:p w14:paraId="33A6BDA5">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案例教学、双证考核</w:t>
            </w:r>
          </w:p>
        </w:tc>
        <w:tc>
          <w:tcPr>
            <w:tcBorders>
              <w:top w:val="single" w:color="222222" w:sz="6" w:space="0"/>
              <w:left w:val="single" w:color="222222" w:sz="6" w:space="0"/>
              <w:bottom w:val="single" w:color="222222" w:sz="6" w:space="0"/>
              <w:right w:val="single" w:color="222222" w:sz="6" w:space="0"/>
            </w:tcBorders>
          </w:tcPr>
          <w:p w14:paraId="1DCB6AFC">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企业官网、电商平台</w:t>
            </w:r>
          </w:p>
        </w:tc>
      </w:tr>
      <w:tr w14:paraId="4C5CD6A6">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1742798E">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数字出版</w:t>
            </w:r>
          </w:p>
        </w:tc>
        <w:tc>
          <w:tcPr>
            <w:tcBorders>
              <w:top w:val="single" w:color="222222" w:sz="6" w:space="0"/>
              <w:left w:val="single" w:color="222222" w:sz="6" w:space="0"/>
              <w:bottom w:val="single" w:color="222222" w:sz="6" w:space="0"/>
              <w:right w:val="single" w:color="222222" w:sz="6" w:space="0"/>
            </w:tcBorders>
          </w:tcPr>
          <w:p w14:paraId="74040278">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版面设计能力、多媒体内容整合能力</w:t>
            </w:r>
          </w:p>
        </w:tc>
        <w:tc>
          <w:tcPr>
            <w:tcBorders>
              <w:top w:val="single" w:color="222222" w:sz="6" w:space="0"/>
              <w:left w:val="single" w:color="222222" w:sz="6" w:space="0"/>
              <w:bottom w:val="single" w:color="222222" w:sz="6" w:space="0"/>
              <w:right w:val="single" w:color="222222" w:sz="6" w:space="0"/>
            </w:tcBorders>
          </w:tcPr>
          <w:p w14:paraId="25FD8F6C">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电子出版编辑、排版设计师</w:t>
            </w:r>
          </w:p>
        </w:tc>
        <w:tc>
          <w:tcPr>
            <w:tcBorders>
              <w:top w:val="single" w:color="222222" w:sz="6" w:space="0"/>
              <w:left w:val="single" w:color="222222" w:sz="6" w:space="0"/>
              <w:bottom w:val="single" w:color="222222" w:sz="6" w:space="0"/>
              <w:right w:val="single" w:color="222222" w:sz="6" w:space="0"/>
            </w:tcBorders>
          </w:tcPr>
          <w:p w14:paraId="15CC8C86">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InDesign、PDF交互工具</w:t>
            </w:r>
          </w:p>
        </w:tc>
        <w:tc>
          <w:tcPr>
            <w:tcBorders>
              <w:top w:val="single" w:color="222222" w:sz="6" w:space="0"/>
              <w:left w:val="single" w:color="222222" w:sz="6" w:space="0"/>
              <w:bottom w:val="single" w:color="222222" w:sz="6" w:space="0"/>
              <w:right w:val="single" w:color="222222" w:sz="6" w:space="0"/>
            </w:tcBorders>
          </w:tcPr>
          <w:p w14:paraId="3E34CF05">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核心课程+行业标准</w:t>
            </w:r>
          </w:p>
        </w:tc>
        <w:tc>
          <w:tcPr>
            <w:tcBorders>
              <w:top w:val="single" w:color="222222" w:sz="6" w:space="0"/>
              <w:left w:val="single" w:color="222222" w:sz="6" w:space="0"/>
              <w:bottom w:val="single" w:color="222222" w:sz="6" w:space="0"/>
              <w:right w:val="single" w:color="222222" w:sz="6" w:space="0"/>
            </w:tcBorders>
          </w:tcPr>
          <w:p w14:paraId="2CBA06CD">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电子杂志、数字教材</w:t>
            </w:r>
          </w:p>
        </w:tc>
      </w:tr>
      <w:tr w14:paraId="6FC15298">
        <w:tblPrEx>
          <w:tblCellMar>
            <w:top w:w="0" w:type="dxa"/>
            <w:left w:w="108" w:type="dxa"/>
            <w:bottom w:w="0" w:type="dxa"/>
            <w:right w:w="108" w:type="dxa"/>
          </w:tblCellMar>
        </w:tblPrEx>
        <w:tc>
          <w:tcPr>
            <w:tcBorders>
              <w:top w:val="single" w:color="222222" w:sz="6" w:space="0"/>
              <w:left w:val="single" w:color="222222" w:sz="6" w:space="0"/>
              <w:bottom w:val="single" w:color="222222" w:sz="6" w:space="0"/>
              <w:right w:val="single" w:color="222222" w:sz="6" w:space="0"/>
            </w:tcBorders>
          </w:tcPr>
          <w:p w14:paraId="447B15E8">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数据可视化</w:t>
            </w:r>
          </w:p>
        </w:tc>
        <w:tc>
          <w:tcPr>
            <w:tcBorders>
              <w:top w:val="single" w:color="222222" w:sz="6" w:space="0"/>
              <w:left w:val="single" w:color="222222" w:sz="6" w:space="0"/>
              <w:bottom w:val="single" w:color="222222" w:sz="6" w:space="0"/>
              <w:right w:val="single" w:color="222222" w:sz="6" w:space="0"/>
            </w:tcBorders>
          </w:tcPr>
          <w:p w14:paraId="2441BCBA">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信息图表设计能力、数据分析呈现能力</w:t>
            </w:r>
          </w:p>
        </w:tc>
        <w:tc>
          <w:tcPr>
            <w:tcBorders>
              <w:top w:val="single" w:color="222222" w:sz="6" w:space="0"/>
              <w:left w:val="single" w:color="222222" w:sz="6" w:space="0"/>
              <w:bottom w:val="single" w:color="222222" w:sz="6" w:space="0"/>
              <w:right w:val="single" w:color="222222" w:sz="6" w:space="0"/>
            </w:tcBorders>
          </w:tcPr>
          <w:p w14:paraId="684B31A2">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数据可视化设计师、BI分析师</w:t>
            </w:r>
          </w:p>
        </w:tc>
        <w:tc>
          <w:tcPr>
            <w:tcBorders>
              <w:top w:val="single" w:color="222222" w:sz="6" w:space="0"/>
              <w:left w:val="single" w:color="222222" w:sz="6" w:space="0"/>
              <w:bottom w:val="single" w:color="222222" w:sz="6" w:space="0"/>
              <w:right w:val="single" w:color="222222" w:sz="6" w:space="0"/>
            </w:tcBorders>
          </w:tcPr>
          <w:p w14:paraId="6E459AF7">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Tableau、Power BI、D3.js</w:t>
            </w:r>
          </w:p>
        </w:tc>
        <w:tc>
          <w:tcPr>
            <w:tcBorders>
              <w:top w:val="single" w:color="222222" w:sz="6" w:space="0"/>
              <w:left w:val="single" w:color="222222" w:sz="6" w:space="0"/>
              <w:bottom w:val="single" w:color="222222" w:sz="6" w:space="0"/>
              <w:right w:val="single" w:color="222222" w:sz="6" w:space="0"/>
            </w:tcBorders>
          </w:tcPr>
          <w:p w14:paraId="4668CB17">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跨学科整合培养</w:t>
            </w:r>
          </w:p>
        </w:tc>
        <w:tc>
          <w:tcPr>
            <w:tcBorders>
              <w:top w:val="single" w:color="222222" w:sz="6" w:space="0"/>
              <w:left w:val="single" w:color="222222" w:sz="6" w:space="0"/>
              <w:bottom w:val="single" w:color="222222" w:sz="6" w:space="0"/>
              <w:right w:val="single" w:color="222222" w:sz="6" w:space="0"/>
            </w:tcBorders>
          </w:tcPr>
          <w:p w14:paraId="0378EA71">
            <w:pPr>
              <w:pageBreakBefore w:val="0"/>
              <w:widowControl/>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商业智能、新闻报道</w:t>
            </w:r>
          </w:p>
        </w:tc>
      </w:tr>
    </w:tbl>
    <w:p w14:paraId="37FB5705">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sz w:val="24"/>
          <w:szCs w:val="24"/>
        </w:rPr>
        <w:t>表：数字媒体专业细分领域核心能力与岗位匹配关系</w:t>
      </w:r>
    </w:p>
    <w:p w14:paraId="0C459D01">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核心结论在于：面向未来，数字媒体专业大专教育必须坚持以产业需求为导向，以学生核心能力培养为中心，深化产教融合，优化课程体系与教学内容，强化实践教学环节，构建一个动态调整、响应迅速、能够支撑学生可持续职业发展的人才培养体系。</w:t>
      </w:r>
    </w:p>
    <w:p w14:paraId="36356592">
      <w:pPr>
        <w:pStyle w:val="3"/>
        <w:numPr>
          <w:ilvl w:val="0"/>
          <w:numId w:val="10"/>
        </w:numPr>
        <w:bidi w:val="0"/>
        <w:ind w:left="-420" w:leftChars="0" w:firstLine="420" w:firstLineChars="0"/>
        <w:rPr>
          <w:rFonts w:hint="eastAsia"/>
        </w:rPr>
      </w:pPr>
      <w:bookmarkStart w:id="16" w:name="_Toc3076"/>
      <w:r>
        <w:rPr>
          <w:rFonts w:hint="eastAsia"/>
        </w:rPr>
        <w:t>专业建设与人才培养改进建议</w:t>
      </w:r>
      <w:bookmarkEnd w:id="16"/>
    </w:p>
    <w:p w14:paraId="5BE92CF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基于上述调研发现与结论，为促进数字媒体专业大专教育的健康发展，使其更好地适应和引领产业发展，特提出以下专业建设与人才培养改进建议：</w:t>
      </w:r>
    </w:p>
    <w:p w14:paraId="1E9847E4">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 重构以核心岗位能力为导向的模块化课程体系。</w:t>
      </w:r>
      <w:r>
        <w:rPr>
          <w:rFonts w:hint="eastAsia" w:asciiTheme="minorEastAsia" w:hAnsiTheme="minorEastAsia" w:eastAsiaTheme="minorEastAsia" w:cstheme="minorEastAsia"/>
          <w:sz w:val="24"/>
          <w:szCs w:val="24"/>
        </w:rPr>
        <w:t xml:space="preserve"> 建议打破传统的学科界限，依据数字媒体13个细分领域的典型工作任务和岗位能力要求，系统梳理并明确各领域的核心能力指标。参考张宝升（2021）基于岗位职业能力分析构建课程体系的方法，将课程内容重组为“专业基础模块+方向核心模块+跨界拓展模块”的柔性结构。专业基础模块注重艺术素养、设计思维和通用软件操作能力的培养；方向核心模块对应各细分领域（如三维动画、影视特效、交互设计等）的高阶技能与项目实践；跨界拓展模块则鼓励学生根据兴趣和职业规划，选修其他相关领域的课程，培养跨界的复合能力。课程体系的构建应充分体现单淮峰（2013）所倡导的“核心课程开发为专业课程建设主体，教学项目设计为专业教学改革重点”的思路。</w:t>
      </w:r>
    </w:p>
    <w:p w14:paraId="3AA91C40">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2. 深化“产教融合、校企协同”的育人机制。</w:t>
      </w:r>
      <w:r>
        <w:rPr>
          <w:rFonts w:hint="eastAsia" w:asciiTheme="minorEastAsia" w:hAnsiTheme="minorEastAsia" w:eastAsiaTheme="minorEastAsia" w:cstheme="minorEastAsia"/>
          <w:sz w:val="24"/>
          <w:szCs w:val="24"/>
        </w:rPr>
        <w:t xml:space="preserve"> 建议院校主动与区域龙头数字媒体企业建立深度战略合作关系，共同成立产业学院或协同创新中心。具体措施包括：（1）</w:t>
      </w:r>
      <w:r>
        <w:rPr>
          <w:rFonts w:hint="eastAsia" w:asciiTheme="minorEastAsia" w:hAnsiTheme="minorEastAsia" w:eastAsiaTheme="minorEastAsia" w:cstheme="minorEastAsia"/>
          <w:b/>
          <w:sz w:val="24"/>
          <w:szCs w:val="24"/>
        </w:rPr>
        <w:t>共建课程与教材</w:t>
      </w:r>
      <w:r>
        <w:rPr>
          <w:rFonts w:hint="eastAsia" w:asciiTheme="minorEastAsia" w:hAnsiTheme="minorEastAsia" w:eastAsiaTheme="minorEastAsia" w:cstheme="minorEastAsia"/>
          <w:sz w:val="24"/>
          <w:szCs w:val="24"/>
        </w:rPr>
        <w:t>：邀请企业专家参与人才培养方案制定、课程标准开发与活页式教材编写，确保教学内容与行业标准、技术发展同步。（2）</w:t>
      </w:r>
      <w:r>
        <w:rPr>
          <w:rFonts w:hint="eastAsia" w:asciiTheme="minorEastAsia" w:hAnsiTheme="minorEastAsia" w:eastAsiaTheme="minorEastAsia" w:cstheme="minorEastAsia"/>
          <w:b/>
          <w:sz w:val="24"/>
          <w:szCs w:val="24"/>
        </w:rPr>
        <w:t>共建师资队伍</w:t>
      </w:r>
      <w:r>
        <w:rPr>
          <w:rFonts w:hint="eastAsia" w:asciiTheme="minorEastAsia" w:hAnsiTheme="minorEastAsia" w:eastAsiaTheme="minorEastAsia" w:cstheme="minorEastAsia"/>
          <w:sz w:val="24"/>
          <w:szCs w:val="24"/>
        </w:rPr>
        <w:t>：实施“双导师制”，聘请企业技术人员担任产业导师，同时选派专业教师到企业挂职锻炼，打造“双师型”教学团队。（3）</w:t>
      </w:r>
      <w:r>
        <w:rPr>
          <w:rFonts w:hint="eastAsia" w:asciiTheme="minorEastAsia" w:hAnsiTheme="minorEastAsia" w:eastAsiaTheme="minorEastAsia" w:cstheme="minorEastAsia"/>
          <w:b/>
          <w:sz w:val="24"/>
          <w:szCs w:val="24"/>
        </w:rPr>
        <w:t>共建实践基地</w:t>
      </w:r>
      <w:r>
        <w:rPr>
          <w:rFonts w:hint="eastAsia" w:asciiTheme="minorEastAsia" w:hAnsiTheme="minorEastAsia" w:eastAsiaTheme="minorEastAsia" w:cstheme="minorEastAsia"/>
          <w:sz w:val="24"/>
          <w:szCs w:val="24"/>
        </w:rPr>
        <w:t>：将企业真实项目引入校园，建设具备生产功能的校内实训基地，并拓展稳定的校外实习基地，为学生提供沉浸式的实践环境。施丽娜（</w:t>
      </w:r>
      <w:r>
        <w:rPr>
          <w:rFonts w:hint="eastAsia" w:asciiTheme="minorEastAsia" w:hAnsiTheme="minorEastAsia" w:eastAsiaTheme="minorEastAsia" w:cstheme="minorEastAsia"/>
          <w:sz w:val="24"/>
          <w:szCs w:val="24"/>
          <w:lang w:eastAsia="zh-CN"/>
        </w:rPr>
        <w:t>2023</w:t>
      </w:r>
      <w:r>
        <w:rPr>
          <w:rFonts w:hint="eastAsia" w:asciiTheme="minorEastAsia" w:hAnsiTheme="minorEastAsia" w:eastAsiaTheme="minorEastAsia" w:cstheme="minorEastAsia"/>
          <w:sz w:val="24"/>
          <w:szCs w:val="24"/>
        </w:rPr>
        <w:t>）的研究为产教融合提供了职业本科层面的视角，其理念同样适用于大专层次，关键在于落实落地。</w:t>
      </w:r>
    </w:p>
    <w:p w14:paraId="1EDFC1D7">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3. 强化“教学做合一”的项目驱动式教学模式。</w:t>
      </w:r>
      <w:r>
        <w:rPr>
          <w:rFonts w:hint="eastAsia" w:asciiTheme="minorEastAsia" w:hAnsiTheme="minorEastAsia" w:eastAsiaTheme="minorEastAsia" w:cstheme="minorEastAsia"/>
          <w:sz w:val="24"/>
          <w:szCs w:val="24"/>
        </w:rPr>
        <w:t xml:space="preserve"> 大力推广以真实项目或模拟项目为载体的教学方法。在各专业课程中，特别是像《After Effects》（刘悦，电子测试）这类实践性强的课程，应摒弃单一的软件命令教学，采用案例导入、任务驱动、小组协作的方式，让学生在完成项目的过程中掌握技能、理解流程、培养团队协作精神。教学模式改革可借鉴杨伟杰（2016）提出的“项目驱动，分段递进”思路，将学生的学习过程划分为基础技能掌握、综合项目演练、顶岗实习等阶段，实现能力的螺旋式上升。</w:t>
      </w:r>
    </w:p>
    <w:p w14:paraId="28BD4716">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4. 引入行业认证与“1+X”证书制度，提升人才竞争力。</w:t>
      </w:r>
      <w:r>
        <w:rPr>
          <w:rFonts w:hint="eastAsia" w:asciiTheme="minorEastAsia" w:hAnsiTheme="minorEastAsia" w:eastAsiaTheme="minorEastAsia" w:cstheme="minorEastAsia"/>
          <w:sz w:val="24"/>
          <w:szCs w:val="24"/>
        </w:rPr>
        <w:t xml:space="preserve"> 鼓励学生在获得学历证书的同时，积极获取与专业相关的多项职业技能等级证书（X证书）。将行业权威认证（如Adobe认证、Autodesk认证等）或“1+X”证书的考核标准融入课程教学与评价体系，实现课证融通。这不仅能检验学生的学习成果，也能增强其就业竞争力，实现与行业的“零距离”接触，正如李振华（2013）在实训教程中追求的目标。</w:t>
      </w:r>
    </w:p>
    <w:p w14:paraId="4EA04D63">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5. 注重新技术融入与创新创业能力培养。</w:t>
      </w:r>
      <w:r>
        <w:rPr>
          <w:rFonts w:hint="eastAsia" w:asciiTheme="minorEastAsia" w:hAnsiTheme="minorEastAsia" w:eastAsiaTheme="minorEastAsia" w:cstheme="minorEastAsia"/>
          <w:sz w:val="24"/>
          <w:szCs w:val="24"/>
        </w:rPr>
        <w:t xml:space="preserve"> 密切关注人工智能、大数据、云计算、实时渲染等前沿技术对数字媒体行业的影响，及时将AIGC辅助设计、VR/AR/XR内容开发、数据可视化等新技术、新知识纳入教学内容。同时，贯彻落实“双创”教育理念（刘曼，2019），开设创新创业相关课程，鼓励学生参与学科竞赛、创新创业项目，培养其创新意识、创业精神和解决复杂问题的能力。</w:t>
      </w:r>
    </w:p>
    <w:p w14:paraId="3E0DE9A5">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6. 建立持续改进的质量评价与反馈机制。</w:t>
      </w:r>
      <w:r>
        <w:rPr>
          <w:rFonts w:hint="eastAsia" w:asciiTheme="minorEastAsia" w:hAnsiTheme="minorEastAsia" w:eastAsiaTheme="minorEastAsia" w:cstheme="minorEastAsia"/>
          <w:sz w:val="24"/>
          <w:szCs w:val="24"/>
        </w:rPr>
        <w:t xml:space="preserve"> 建立健全由在校生、毕业生、用人单位、行业专家等多方参与的人才培养质量评价与反馈体系。定期开展毕业生跟踪调查和用人单位满意度调查，将反馈信息作为优化人才培养方案、改进教学管理的重要依据，形成“评价-反馈-改进”的闭环系统，确保专业建设始终与产业发展同频共振。</w:t>
      </w:r>
    </w:p>
    <w:p w14:paraId="76A501CF">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为系统化推进上述建议，特制定以下实施路线图，明确阶段性目标与重点任务：</w:t>
      </w:r>
    </w:p>
    <w:p w14:paraId="796B1F7B">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p>
    <w:tbl>
      <w:tblPr>
        <w:tblStyle w:val="13"/>
        <w:tblW w:w="97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15"/>
      </w:tblGrid>
      <w:tr w14:paraId="24C47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vAlign w:val="center"/>
          </w:tcPr>
          <w:p w14:paraId="2366A191">
            <w:pPr>
              <w:pageBreakBefore w:val="0"/>
              <w:widowControl/>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drawing>
                <wp:anchor distT="0" distB="0" distL="0" distR="0" simplePos="0" relativeHeight="251659264" behindDoc="0" locked="0" layoutInCell="1" allowOverlap="1">
                  <wp:simplePos x="0" y="0"/>
                  <wp:positionH relativeFrom="column">
                    <wp:posOffset>0</wp:posOffset>
                  </wp:positionH>
                  <wp:positionV relativeFrom="paragraph">
                    <wp:posOffset>-10323830</wp:posOffset>
                  </wp:positionV>
                  <wp:extent cx="5732145" cy="10547350"/>
                  <wp:effectExtent l="0" t="0" r="0" b="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a:stretch>
                            <a:fillRect/>
                          </a:stretch>
                        </pic:blipFill>
                        <pic:spPr>
                          <a:xfrm>
                            <a:off x="0" y="0"/>
                            <a:ext cx="5732145" cy="10547813"/>
                          </a:xfrm>
                          <a:prstGeom prst="rect">
                            <a:avLst/>
                          </a:prstGeom>
                        </pic:spPr>
                      </pic:pic>
                    </a:graphicData>
                  </a:graphic>
                </wp:anchor>
              </w:drawing>
            </w:r>
          </w:p>
        </w:tc>
      </w:tr>
      <w:tr w14:paraId="76D5F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vAlign w:val="center"/>
          </w:tcPr>
          <w:p w14:paraId="7CFFE700">
            <w:pPr>
              <w:pageBreakBefore w:val="0"/>
              <w:widowControl/>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实施路线图</w:t>
            </w:r>
          </w:p>
        </w:tc>
      </w:tr>
    </w:tbl>
    <w:p w14:paraId="05C1B6D4">
      <w:pPr>
        <w:pageBreakBefore w:val="0"/>
        <w:widowControl/>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rPr>
      </w:pPr>
    </w:p>
    <w:p w14:paraId="239DDCA9">
      <w:pPr>
        <w:pageBreakBefore w:val="0"/>
        <w:widowControl/>
        <w:kinsoku/>
        <w:wordWrap/>
        <w:overflowPunct/>
        <w:topLinePunct w:val="0"/>
        <w:autoSpaceDE/>
        <w:autoSpaceDN/>
        <w:bidi w:val="0"/>
        <w:adjustRightInd/>
        <w:snapToGrid/>
        <w:spacing w:line="44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之，数字媒体专业大专教育的改革与发展是一项系统工程，需要教育者秉持开放、创新的理念，紧密对接产业需求，持续深化教学改革，方能培养出适应数字经济时代要求的高素质技术技能人才，为文化创意产业的繁荣发展提供坚实的人才支撑。</w:t>
      </w:r>
    </w:p>
    <w:p w14:paraId="3E428BAF"/>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21">
    <w:altName w:val="MV Boli"/>
    <w:panose1 w:val="02000503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V Boli">
    <w:panose1 w:val="02000500030200090000"/>
    <w:charset w:val="00"/>
    <w:family w:val="auto"/>
    <w:pitch w:val="default"/>
    <w:sig w:usb0="00000003" w:usb1="00000000" w:usb2="000001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A5F690"/>
    <w:multiLevelType w:val="singleLevel"/>
    <w:tmpl w:val="94A5F690"/>
    <w:lvl w:ilvl="0" w:tentative="0">
      <w:start w:val="1"/>
      <w:numFmt w:val="decimal"/>
      <w:lvlText w:val="%1."/>
      <w:lvlJc w:val="left"/>
      <w:pPr>
        <w:ind w:left="425" w:hanging="425"/>
      </w:pPr>
      <w:rPr>
        <w:rFonts w:hint="default"/>
      </w:rPr>
    </w:lvl>
  </w:abstractNum>
  <w:abstractNum w:abstractNumId="1">
    <w:nsid w:val="DDADC5CA"/>
    <w:multiLevelType w:val="singleLevel"/>
    <w:tmpl w:val="DDADC5CA"/>
    <w:lvl w:ilvl="0" w:tentative="0">
      <w:start w:val="1"/>
      <w:numFmt w:val="decimal"/>
      <w:lvlText w:val="%1."/>
      <w:lvlJc w:val="left"/>
      <w:pPr>
        <w:ind w:left="425" w:hanging="425"/>
      </w:pPr>
      <w:rPr>
        <w:rFonts w:hint="default"/>
      </w:rPr>
    </w:lvl>
  </w:abstractNum>
  <w:abstractNum w:abstractNumId="2">
    <w:nsid w:val="E32F01BA"/>
    <w:multiLevelType w:val="singleLevel"/>
    <w:tmpl w:val="E32F01BA"/>
    <w:lvl w:ilvl="0" w:tentative="0">
      <w:start w:val="1"/>
      <w:numFmt w:val="chineseCounting"/>
      <w:suff w:val="nothing"/>
      <w:lvlText w:val="（%1）"/>
      <w:lvlJc w:val="left"/>
      <w:pPr>
        <w:ind w:left="-420" w:firstLine="420"/>
      </w:pPr>
      <w:rPr>
        <w:rFonts w:hint="eastAsia"/>
      </w:rPr>
    </w:lvl>
  </w:abstractNum>
  <w:abstractNum w:abstractNumId="3">
    <w:nsid w:val="EFEAD54D"/>
    <w:multiLevelType w:val="singleLevel"/>
    <w:tmpl w:val="EFEAD54D"/>
    <w:lvl w:ilvl="0" w:tentative="0">
      <w:start w:val="1"/>
      <w:numFmt w:val="chineseCounting"/>
      <w:suff w:val="nothing"/>
      <w:lvlText w:val="（%1）"/>
      <w:lvlJc w:val="left"/>
      <w:pPr>
        <w:ind w:left="-420" w:firstLine="420"/>
      </w:pPr>
      <w:rPr>
        <w:rFonts w:hint="eastAsia"/>
      </w:rPr>
    </w:lvl>
  </w:abstractNum>
  <w:abstractNum w:abstractNumId="4">
    <w:nsid w:val="05B2796F"/>
    <w:multiLevelType w:val="singleLevel"/>
    <w:tmpl w:val="05B2796F"/>
    <w:lvl w:ilvl="0" w:tentative="0">
      <w:start w:val="1"/>
      <w:numFmt w:val="decimal"/>
      <w:lvlText w:val="%1."/>
      <w:lvlJc w:val="left"/>
      <w:pPr>
        <w:ind w:left="425" w:hanging="425"/>
      </w:pPr>
      <w:rPr>
        <w:rFonts w:hint="default"/>
      </w:rPr>
    </w:lvl>
  </w:abstractNum>
  <w:abstractNum w:abstractNumId="5">
    <w:nsid w:val="2134A2E7"/>
    <w:multiLevelType w:val="singleLevel"/>
    <w:tmpl w:val="2134A2E7"/>
    <w:lvl w:ilvl="0" w:tentative="0">
      <w:start w:val="1"/>
      <w:numFmt w:val="decimal"/>
      <w:lvlText w:val="%1."/>
      <w:lvlJc w:val="left"/>
      <w:pPr>
        <w:ind w:left="425" w:hanging="425"/>
      </w:pPr>
      <w:rPr>
        <w:rFonts w:hint="default"/>
      </w:rPr>
    </w:lvl>
  </w:abstractNum>
  <w:abstractNum w:abstractNumId="6">
    <w:nsid w:val="33017B82"/>
    <w:multiLevelType w:val="singleLevel"/>
    <w:tmpl w:val="33017B82"/>
    <w:lvl w:ilvl="0" w:tentative="0">
      <w:start w:val="1"/>
      <w:numFmt w:val="chineseCounting"/>
      <w:suff w:val="nothing"/>
      <w:lvlText w:val="%1、"/>
      <w:lvlJc w:val="left"/>
      <w:pPr>
        <w:ind w:left="-420" w:firstLine="420"/>
      </w:pPr>
      <w:rPr>
        <w:rFonts w:hint="eastAsia"/>
      </w:rPr>
    </w:lvl>
  </w:abstractNum>
  <w:abstractNum w:abstractNumId="7">
    <w:nsid w:val="46DAAD69"/>
    <w:multiLevelType w:val="singleLevel"/>
    <w:tmpl w:val="46DAAD69"/>
    <w:lvl w:ilvl="0" w:tentative="0">
      <w:start w:val="1"/>
      <w:numFmt w:val="chineseCounting"/>
      <w:suff w:val="nothing"/>
      <w:lvlText w:val="（%1）"/>
      <w:lvlJc w:val="left"/>
      <w:pPr>
        <w:ind w:left="-420" w:firstLine="420"/>
      </w:pPr>
      <w:rPr>
        <w:rFonts w:hint="eastAsia"/>
      </w:rPr>
    </w:lvl>
  </w:abstractNum>
  <w:abstractNum w:abstractNumId="8">
    <w:nsid w:val="736DD992"/>
    <w:multiLevelType w:val="singleLevel"/>
    <w:tmpl w:val="736DD992"/>
    <w:lvl w:ilvl="0" w:tentative="0">
      <w:start w:val="1"/>
      <w:numFmt w:val="decimal"/>
      <w:lvlText w:val="%1."/>
      <w:lvlJc w:val="left"/>
      <w:pPr>
        <w:ind w:left="425" w:hanging="425"/>
      </w:pPr>
      <w:rPr>
        <w:rFonts w:hint="default"/>
      </w:rPr>
    </w:lvl>
  </w:abstractNum>
  <w:abstractNum w:abstractNumId="9">
    <w:nsid w:val="7616FCCD"/>
    <w:multiLevelType w:val="singleLevel"/>
    <w:tmpl w:val="7616FCCD"/>
    <w:lvl w:ilvl="0" w:tentative="0">
      <w:start w:val="1"/>
      <w:numFmt w:val="chineseCounting"/>
      <w:suff w:val="nothing"/>
      <w:lvlText w:val="（%1）"/>
      <w:lvlJc w:val="left"/>
      <w:pPr>
        <w:ind w:left="-420" w:firstLine="420"/>
      </w:pPr>
      <w:rPr>
        <w:rFonts w:hint="eastAsia"/>
      </w:rPr>
    </w:lvl>
  </w:abstractNum>
  <w:num w:numId="1">
    <w:abstractNumId w:val="6"/>
  </w:num>
  <w:num w:numId="2">
    <w:abstractNumId w:val="9"/>
  </w:num>
  <w:num w:numId="3">
    <w:abstractNumId w:val="7"/>
  </w:num>
  <w:num w:numId="4">
    <w:abstractNumId w:val="0"/>
  </w:num>
  <w:num w:numId="5">
    <w:abstractNumId w:val="4"/>
  </w:num>
  <w:num w:numId="6">
    <w:abstractNumId w:val="5"/>
  </w:num>
  <w:num w:numId="7">
    <w:abstractNumId w:val="1"/>
  </w:num>
  <w:num w:numId="8">
    <w:abstractNumId w:val="8"/>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characterSpacingControl w:val="doNotCompress"/>
  <w:footnotePr>
    <w:footnote w:id="0"/>
    <w:footnote w:id="1"/>
  </w:footnotePr>
  <w:endnotePr>
    <w:endnote w:id="0"/>
    <w:endnote w:id="1"/>
  </w:endnotePr>
  <w:compat>
    <w:balanceSingleByteDoubleByteWidth/>
    <w:ulTrailSpace/>
    <w:doNotExpandShiftReturn/>
    <w:useFELayout/>
    <w:compatSetting w:name="compatibilityMode" w:uri="http://schemas.microsoft.com/office/word" w:val="16"/>
    <w:compatSetting w:name="overrideTableStyleFontSizeAndJustification" w:uri="http://schemas.microsoft.com/office/word" w:val="1"/>
  </w:compat>
  <w:rsids>
    <w:rsidRoot w:val="00000000"/>
    <w:rsid w:val="44BE5443"/>
    <w:rsid w:val="4B4A471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Lines="0" w:after="0" w:afterLines="0" w:line="240" w:lineRule="auto"/>
      <w:jc w:val="both"/>
    </w:pPr>
    <w:rPr>
      <w:rFonts w:ascii="Calibri" w:hAnsi="Calibri" w:eastAsia="等线" w:cs="21"/>
      <w:sz w:val="22"/>
      <w:szCs w:val="22"/>
      <w:lang w:val="en-US" w:eastAsia="en-US" w:bidi="ar-SA"/>
    </w:rPr>
  </w:style>
  <w:style w:type="paragraph" w:styleId="2">
    <w:name w:val="heading 1"/>
    <w:basedOn w:val="1"/>
    <w:next w:val="1"/>
    <w:link w:val="19"/>
    <w:qFormat/>
    <w:uiPriority w:val="9"/>
    <w:pPr>
      <w:keepNext/>
      <w:keepLines/>
      <w:spacing w:before="120"/>
      <w:outlineLvl w:val="0"/>
    </w:pPr>
    <w:rPr>
      <w:rFonts w:eastAsia="宋体" w:asciiTheme="majorAscii" w:hAnsiTheme="majorAscii" w:cstheme="majorBidi"/>
      <w:b/>
      <w:bCs/>
      <w:color w:val="000000"/>
      <w:sz w:val="32"/>
      <w:szCs w:val="28"/>
    </w:rPr>
  </w:style>
  <w:style w:type="paragraph" w:styleId="3">
    <w:name w:val="heading 2"/>
    <w:basedOn w:val="1"/>
    <w:next w:val="1"/>
    <w:link w:val="20"/>
    <w:unhideWhenUsed/>
    <w:qFormat/>
    <w:uiPriority w:val="9"/>
    <w:pPr>
      <w:keepNext/>
      <w:keepLines/>
      <w:spacing w:before="200"/>
      <w:outlineLvl w:val="1"/>
    </w:pPr>
    <w:rPr>
      <w:rFonts w:eastAsia="宋体" w:asciiTheme="majorAscii" w:hAnsiTheme="majorAscii" w:cstheme="majorBidi"/>
      <w:b/>
      <w:bCs/>
      <w:color w:val="000000"/>
      <w:sz w:val="28"/>
      <w:szCs w:val="26"/>
    </w:rPr>
  </w:style>
  <w:style w:type="paragraph" w:styleId="4">
    <w:name w:val="heading 3"/>
    <w:basedOn w:val="1"/>
    <w:next w:val="1"/>
    <w:link w:val="21"/>
    <w:unhideWhenUsed/>
    <w:qFormat/>
    <w:uiPriority w:val="9"/>
    <w:pPr>
      <w:keepNext/>
      <w:keepLines/>
      <w:spacing w:before="200"/>
      <w:outlineLvl w:val="2"/>
    </w:pPr>
    <w:rPr>
      <w:rFonts w:asciiTheme="majorHAnsi" w:hAnsiTheme="majorHAnsi" w:eastAsiaTheme="majorEastAsia" w:cstheme="majorBidi"/>
      <w:b/>
      <w:bCs/>
      <w:color w:val="000000"/>
    </w:rPr>
  </w:style>
  <w:style w:type="paragraph" w:styleId="5">
    <w:name w:val="heading 4"/>
    <w:basedOn w:val="1"/>
    <w:next w:val="1"/>
    <w:link w:val="22"/>
    <w:unhideWhenUsed/>
    <w:qFormat/>
    <w:uiPriority w:val="9"/>
    <w:pPr>
      <w:keepNext/>
      <w:keepLines/>
      <w:spacing w:before="200"/>
      <w:outlineLvl w:val="3"/>
    </w:pPr>
    <w:rPr>
      <w:rFonts w:asciiTheme="majorHAnsi" w:hAnsiTheme="majorHAnsi" w:eastAsiaTheme="majorEastAsia" w:cstheme="majorBidi"/>
      <w:b/>
      <w:bCs/>
      <w:i/>
      <w:iCs/>
      <w:color w:val="000000"/>
    </w:rPr>
  </w:style>
  <w:style w:type="character" w:default="1" w:styleId="15">
    <w:name w:val="Default Paragraph Font"/>
    <w:semiHidden/>
    <w:unhideWhenUsed/>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left="720"/>
    </w:pPr>
  </w:style>
  <w:style w:type="paragraph" w:styleId="7">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8">
    <w:name w:val="header"/>
    <w:basedOn w:val="1"/>
    <w:link w:val="18"/>
    <w:unhideWhenUsed/>
    <w:qFormat/>
    <w:uiPriority w:val="99"/>
    <w:pPr>
      <w:tabs>
        <w:tab w:val="center" w:pos="4680"/>
        <w:tab w:val="right" w:pos="9360"/>
      </w:tabs>
    </w:pPr>
  </w:style>
  <w:style w:type="paragraph" w:styleId="9">
    <w:name w:val="toc 1"/>
    <w:basedOn w:val="1"/>
    <w:next w:val="1"/>
    <w:semiHidden/>
    <w:unhideWhenUsed/>
    <w:uiPriority w:val="39"/>
  </w:style>
  <w:style w:type="paragraph" w:styleId="10">
    <w:name w:val="Subtitle"/>
    <w:basedOn w:val="1"/>
    <w:next w:val="1"/>
    <w:link w:val="23"/>
    <w:qFormat/>
    <w:uiPriority w:val="11"/>
    <w:pPr>
      <w:ind w:left="86"/>
    </w:pPr>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1">
    <w:name w:val="toc 2"/>
    <w:basedOn w:val="1"/>
    <w:next w:val="1"/>
    <w:semiHidden/>
    <w:unhideWhenUsed/>
    <w:uiPriority w:val="39"/>
    <w:pPr>
      <w:ind w:left="420" w:leftChars="200"/>
    </w:pPr>
  </w:style>
  <w:style w:type="paragraph" w:styleId="12">
    <w:name w:val="Title"/>
    <w:basedOn w:val="1"/>
    <w:next w:val="1"/>
    <w:link w:val="24"/>
    <w:qFormat/>
    <w:uiPriority w:val="10"/>
    <w:pPr>
      <w:pBdr>
        <w:bottom w:val="single" w:color="4F81BD" w:themeColor="accent1" w:sz="8" w:space="4"/>
      </w:pBdr>
      <w:spacing w:after="300"/>
      <w:contextualSpacing/>
    </w:pPr>
    <w:rPr>
      <w:rFonts w:asciiTheme="majorHAnsi" w:hAnsiTheme="majorHAnsi" w:eastAsiaTheme="majorEastAsia" w:cstheme="majorBidi"/>
      <w:color w:val="17375E" w:themeColor="text2" w:themeShade="BF"/>
      <w:spacing w:val="5"/>
      <w:kern w:val="28"/>
      <w:sz w:val="52"/>
      <w:szCs w:val="52"/>
    </w:rPr>
  </w:style>
  <w:style w:type="table" w:styleId="14">
    <w:name w:val="Table Grid"/>
    <w:basedOn w:val="1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6">
    <w:name w:val="Emphasis"/>
    <w:basedOn w:val="15"/>
    <w:qFormat/>
    <w:uiPriority w:val="20"/>
    <w:rPr>
      <w:i/>
      <w:iCs/>
    </w:rPr>
  </w:style>
  <w:style w:type="character" w:styleId="17">
    <w:name w:val="Hyperlink"/>
    <w:basedOn w:val="15"/>
    <w:unhideWhenUsed/>
    <w:qFormat/>
    <w:uiPriority w:val="99"/>
    <w:rPr>
      <w:color w:val="0000FF" w:themeColor="hyperlink"/>
      <w:u w:val="single"/>
      <w14:textFill>
        <w14:solidFill>
          <w14:schemeClr w14:val="hlink"/>
        </w14:solidFill>
      </w14:textFill>
    </w:rPr>
  </w:style>
  <w:style w:type="character" w:customStyle="1" w:styleId="18">
    <w:name w:val="Header Char"/>
    <w:basedOn w:val="15"/>
    <w:link w:val="8"/>
    <w:qFormat/>
    <w:uiPriority w:val="99"/>
  </w:style>
  <w:style w:type="character" w:customStyle="1" w:styleId="19">
    <w:name w:val="Heading 1 Char"/>
    <w:basedOn w:val="15"/>
    <w:link w:val="2"/>
    <w:uiPriority w:val="9"/>
    <w:rPr>
      <w:rFonts w:eastAsia="宋体" w:asciiTheme="majorAscii" w:hAnsiTheme="majorAscii" w:cstheme="majorBidi"/>
      <w:b/>
      <w:bCs/>
      <w:color w:val="376092" w:themeColor="accent1" w:themeShade="BF"/>
      <w:sz w:val="32"/>
      <w:szCs w:val="28"/>
    </w:rPr>
  </w:style>
  <w:style w:type="character" w:customStyle="1" w:styleId="20">
    <w:name w:val="Heading 2 Char"/>
    <w:basedOn w:val="15"/>
    <w:link w:val="3"/>
    <w:qFormat/>
    <w:uiPriority w:val="9"/>
    <w:rPr>
      <w:rFonts w:eastAsia="宋体" w:asciiTheme="majorAscii" w:hAnsiTheme="majorAscii" w:cstheme="majorBidi"/>
      <w:b/>
      <w:bCs/>
      <w:color w:val="4F81BD" w:themeColor="accent1"/>
      <w:sz w:val="28"/>
      <w:szCs w:val="26"/>
      <w14:textFill>
        <w14:solidFill>
          <w14:schemeClr w14:val="accent1"/>
        </w14:solidFill>
      </w14:textFill>
    </w:rPr>
  </w:style>
  <w:style w:type="character" w:customStyle="1" w:styleId="21">
    <w:name w:val="Heading 3 Char"/>
    <w:basedOn w:val="15"/>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22">
    <w:name w:val="Heading 4 Char"/>
    <w:basedOn w:val="15"/>
    <w:link w:val="5"/>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23">
    <w:name w:val="Subtitle Char"/>
    <w:basedOn w:val="15"/>
    <w:link w:val="10"/>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character" w:customStyle="1" w:styleId="24">
    <w:name w:val="Title Char"/>
    <w:basedOn w:val="15"/>
    <w:link w:val="12"/>
    <w:uiPriority w:val="10"/>
    <w:rPr>
      <w:rFonts w:asciiTheme="majorHAnsi" w:hAnsiTheme="majorHAnsi" w:eastAsiaTheme="majorEastAsia" w:cstheme="majorBidi"/>
      <w:color w:val="17375E" w:themeColor="text2" w:themeShade="BF"/>
      <w:spacing w:val="5"/>
      <w:kern w:val="28"/>
      <w:sz w:val="52"/>
      <w:szCs w:val="5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chart" Target="charts/chart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4.pn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800" b="1" i="0" u="none" strike="noStrike" kern="1200" baseline="0">
                <a:solidFill>
                  <a:schemeClr val="tx1"/>
                </a:solidFill>
                <a:latin typeface="+mn-lt"/>
                <a:ea typeface="+mn-ea"/>
                <a:cs typeface="+mn-cs"/>
              </a:defRPr>
            </a:pPr>
            <a:r>
              <a:t>数字媒体行业关键技术发展趋势</a:t>
            </a:r>
          </a:p>
        </c:rich>
      </c:tx>
      <c:layout/>
      <c:overlay val="0"/>
    </c:title>
    <c:autoTitleDeleted val="0"/>
    <c:plotArea>
      <c:layout/>
      <c:lineChart>
        <c:grouping val="standard"/>
        <c:varyColors val="0"/>
        <c:ser>
          <c:idx val="0"/>
          <c:order val="0"/>
          <c:tx>
            <c:strRef>
              <c:f>Sheet1!$B$1</c:f>
              <c:strCache>
                <c:ptCount val="1"/>
                <c:pt idx="0">
                  <c:v>2023年市场规模</c:v>
                </c:pt>
              </c:strCache>
            </c:strRef>
          </c:tx>
          <c:spPr>
            <a:ln w="28575" cap="rnd" cmpd="sng" algn="ctr">
              <a:solidFill>
                <a:srgbClr val="5470C6"/>
              </a:solidFill>
              <a:prstDash val="solid"/>
              <a:round/>
            </a:ln>
          </c:spPr>
          <c:marker>
            <c:symbol val="circle"/>
            <c:size val="4"/>
            <c:spPr>
              <a:noFill/>
              <a:ln w="9525" cap="flat" cmpd="sng" algn="ctr">
                <a:solidFill>
                  <a:srgbClr val="5470C6"/>
                </a:solidFill>
                <a:prstDash val="solid"/>
                <a:round/>
              </a:ln>
            </c:spPr>
          </c:marker>
          <c:dLbls>
            <c:delete val="1"/>
          </c:dLbls>
          <c:cat>
            <c:strRef>
              <c:f>Sheet1!$A$2:$A$9</c:f>
              <c:strCache>
                <c:ptCount val="8"/>
                <c:pt idx="0">
                  <c:v>短视频</c:v>
                </c:pt>
                <c:pt idx="1">
                  <c:v>游戏产业</c:v>
                </c:pt>
                <c:pt idx="2">
                  <c:v>VR/AR</c:v>
                </c:pt>
                <c:pt idx="3">
                  <c:v>数字内容整体</c:v>
                </c:pt>
                <c:pt idx="4">
                  <c:v>工业互联网</c:v>
                </c:pt>
                <c:pt idx="5">
                  <c:v>云计算</c:v>
                </c:pt>
                <c:pt idx="6">
                  <c:v>影视特效</c:v>
                </c:pt>
                <c:pt idx="7">
                  <c:v>社交媒体广告</c:v>
                </c:pt>
              </c:strCache>
            </c:strRef>
          </c:cat>
          <c:val>
            <c:numRef>
              <c:f>Sheet1!$B$2:$B$9</c:f>
              <c:numCache>
                <c:formatCode>General</c:formatCode>
                <c:ptCount val="8"/>
                <c:pt idx="1">
                  <c:v>3000</c:v>
                </c:pt>
                <c:pt idx="2">
                  <c:v>1035.9</c:v>
                </c:pt>
                <c:pt idx="3">
                  <c:v>14009.6</c:v>
                </c:pt>
                <c:pt idx="4">
                  <c:v>10000</c:v>
                </c:pt>
              </c:numCache>
            </c:numRef>
          </c:val>
          <c:smooth val="0"/>
        </c:ser>
        <c:ser>
          <c:idx val="1"/>
          <c:order val="1"/>
          <c:tx>
            <c:strRef>
              <c:f>Sheet1!$C$1</c:f>
              <c:strCache>
                <c:ptCount val="1"/>
                <c:pt idx="0">
                  <c:v>年增长率</c:v>
                </c:pt>
              </c:strCache>
            </c:strRef>
          </c:tx>
          <c:spPr>
            <a:ln w="28575" cap="rnd" cmpd="sng" algn="ctr">
              <a:solidFill>
                <a:srgbClr val="91CC75"/>
              </a:solidFill>
              <a:prstDash val="solid"/>
              <a:round/>
            </a:ln>
          </c:spPr>
          <c:marker>
            <c:symbol val="circle"/>
            <c:size val="4"/>
            <c:spPr>
              <a:noFill/>
              <a:ln w="9525" cap="flat" cmpd="sng" algn="ctr">
                <a:solidFill>
                  <a:srgbClr val="91CC75"/>
                </a:solidFill>
                <a:prstDash val="solid"/>
                <a:round/>
              </a:ln>
            </c:spPr>
          </c:marker>
          <c:dLbls>
            <c:delete val="1"/>
          </c:dLbls>
          <c:cat>
            <c:strRef>
              <c:f>Sheet1!$A$2:$A$9</c:f>
              <c:strCache>
                <c:ptCount val="8"/>
                <c:pt idx="0">
                  <c:v>短视频</c:v>
                </c:pt>
                <c:pt idx="1">
                  <c:v>游戏产业</c:v>
                </c:pt>
                <c:pt idx="2">
                  <c:v>VR/AR</c:v>
                </c:pt>
                <c:pt idx="3">
                  <c:v>数字内容整体</c:v>
                </c:pt>
                <c:pt idx="4">
                  <c:v>工业互联网</c:v>
                </c:pt>
                <c:pt idx="5">
                  <c:v>云计算</c:v>
                </c:pt>
                <c:pt idx="6">
                  <c:v>影视特效</c:v>
                </c:pt>
                <c:pt idx="7">
                  <c:v>社交媒体广告</c:v>
                </c:pt>
              </c:strCache>
            </c:strRef>
          </c:cat>
          <c:val>
            <c:numRef>
              <c:f>Sheet1!$C$2:$C$9</c:f>
              <c:numCache>
                <c:formatCode>General</c:formatCode>
                <c:ptCount val="8"/>
                <c:pt idx="0">
                  <c:v>12</c:v>
                </c:pt>
                <c:pt idx="2">
                  <c:v>46.54</c:v>
                </c:pt>
                <c:pt idx="4">
                  <c:v>16.1</c:v>
                </c:pt>
                <c:pt idx="5">
                  <c:v>30</c:v>
                </c:pt>
                <c:pt idx="7">
                  <c:v>28</c:v>
                </c:pt>
              </c:numCache>
            </c:numRef>
          </c:val>
          <c:smooth val="0"/>
        </c:ser>
        <c:dLbls>
          <c:showLegendKey val="0"/>
          <c:showVal val="0"/>
          <c:showCatName val="0"/>
          <c:showSerName val="0"/>
          <c:showPercent val="0"/>
          <c:showBubbleSize val="0"/>
        </c:dLbls>
        <c:marker val="1"/>
        <c:smooth val="0"/>
        <c:axId val="2999826"/>
        <c:axId val="2638761"/>
      </c:lineChart>
      <c:catAx>
        <c:axId val="2999826"/>
        <c:scaling>
          <c:orientation val="minMax"/>
        </c:scaling>
        <c:delete val="0"/>
        <c:axPos val="b"/>
        <c:numFmt formatCode="General" sourceLinked="1"/>
        <c:majorTickMark val="out"/>
        <c:minorTickMark val="none"/>
        <c:tickLblPos val="low"/>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638761"/>
        <c:crosses val="autoZero"/>
        <c:auto val="1"/>
        <c:lblAlgn val="ctr"/>
        <c:lblOffset val="100"/>
        <c:noMultiLvlLbl val="0"/>
      </c:catAx>
      <c:valAx>
        <c:axId val="2638761"/>
        <c:scaling>
          <c:orientation val="minMax"/>
        </c:scaling>
        <c:delete val="0"/>
        <c:axPos val="l"/>
        <c:majorGridlines>
          <c:spPr>
            <a:ln w="9525" cap="flat" cmpd="sng" algn="ctr">
              <a:solidFill>
                <a:srgbClr val="E7E7E7"/>
              </a:solidFill>
              <a:prstDash val="dash"/>
              <a:round/>
            </a:ln>
          </c:spPr>
        </c:majorGridlines>
        <c:title>
          <c:tx>
            <c:rich>
              <a:bodyPr rot="-5400000" spcFirstLastPara="0" vertOverflow="ellipsis" vert="horz" wrap="square" anchor="ctr" anchorCtr="1"/>
              <a:lstStyle/>
              <a:p>
                <a:pPr>
                  <a:defRPr lang="zh-CN" sz="1800" b="1" i="0" u="none" strike="noStrike" kern="1200" baseline="0">
                    <a:solidFill>
                      <a:schemeClr val="tx1"/>
                    </a:solidFill>
                    <a:latin typeface="+mn-lt"/>
                    <a:ea typeface="+mn-ea"/>
                    <a:cs typeface="+mn-cs"/>
                  </a:defRPr>
                </a:pPr>
                <a:r>
                  <a:t>市场规模（亿元）</a:t>
                </a:r>
              </a:p>
            </c:rich>
          </c:tx>
          <c:layout/>
          <c:overlay val="0"/>
        </c:title>
        <c:numFmt formatCode="General" sourceLinked="1"/>
        <c:majorTickMark val="none"/>
        <c:minorTickMark val="none"/>
        <c:tickLblPos val="nextTo"/>
        <c:spPr>
          <a:ln w="9525" cap="flat" cmpd="sng" algn="ctr">
            <a:noFill/>
            <a:prstDash val="solid"/>
            <a:round/>
          </a:ln>
        </c:spPr>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999826"/>
        <c:crosses val="autoZero"/>
        <c:crossBetween val="between"/>
      </c:valAx>
      <c:spPr>
        <a:solidFill>
          <a:srgbClr val="FFFFFF"/>
        </a:solidFill>
      </c:spPr>
    </c:plotArea>
    <c:legend>
      <c:legendPos val="b"/>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4e78268a-ab64-426f-afd0-d6c9051b0e4b}"/>
      </c:ext>
    </c:extLst>
  </c:chart>
  <c:spPr>
    <a:solidFill>
      <a:srgbClr val="FFFFFF"/>
    </a:solidFill>
    <a:ln w="9525" cap="flat" cmpd="sng" algn="ctr">
      <a:noFill/>
      <a:prstDash val="solid"/>
      <a:round/>
    </a:ln>
  </c:spPr>
  <c:txPr>
    <a:bodyPr/>
    <a:lstStyle/>
    <a:p>
      <a:pPr>
        <a:defRPr lang="zh-CN"/>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38</Pages>
  <Words>27641</Words>
  <Characters>31234</Characters>
  <TotalTime>0</TotalTime>
  <ScaleCrop>false</ScaleCrop>
  <LinksUpToDate>false</LinksUpToDate>
  <CharactersWithSpaces>31619</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2025-11-29T03:47:26Z</dcterms:created>
  <dc:creator>落叶</dc:creator>
  <cp:lastModifiedBy>落叶</cp:lastModifiedBy>
  <dcterms:modified xsi:type="dcterms:W3CDTF">2025-11-29T04:04:23Z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001191110000802100433B10001","ProduceID":"e084f9fc-ccd5-11f0-85dd-fa280010898c_1764387942_c0ce2d3bdff515737b8f588ca5319163","ReservedCode1":"a2247bbd063eed8f2f2f0f89b790481ad0c790d96447c4471e88bed9db5d6a2b","ContentPropagator":"001191110000802100433B10001","PropagateID":"e084f9fc-ccd5-11f0-85dd-fa280010898c_1764387942_c0ce2d3bdff515737b8f588ca5319163","ReservedCode2":"a2247bbd063eed8f2f2f0f89b790481ad0c790d96447c4471e88bed9db5d6a2b"}</vt:lpwstr>
  </property>
  <property fmtid="{D5CDD505-2E9C-101B-9397-08002B2CF9AE}" pid="3" name="KSOTemplateDocerSaveRecord">
    <vt:lpwstr>eyJoZGlkIjoiZDJkYjczOTEzOTkxOTJiNDUzNWM0YmMxMWNjY2ZlZjEiLCJ1c2VySWQiOiIzNjg4Nzk3NTkifQ==</vt:lpwstr>
  </property>
  <property fmtid="{D5CDD505-2E9C-101B-9397-08002B2CF9AE}" pid="4" name="KSOProductBuildVer">
    <vt:lpwstr>2052-12.1.0.23542</vt:lpwstr>
  </property>
  <property fmtid="{D5CDD505-2E9C-101B-9397-08002B2CF9AE}" pid="5" name="ICV">
    <vt:lpwstr>C008BF047643472A946AD1214D3552A6_13</vt:lpwstr>
  </property>
</Properties>
</file>