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ED7746">
      <w:pPr>
        <w:rPr>
          <w:color w:val="000000" w:themeColor="text1"/>
          <w:sz w:val="56"/>
        </w:rPr>
      </w:pPr>
      <w:r>
        <w:rPr>
          <w:rFonts w:ascii="宋体" w:cs="宋体"/>
          <w:color w:val="000000" w:themeColor="text1"/>
          <w:kern w:val="0"/>
          <w:sz w:val="50"/>
          <w:szCs w:val="50"/>
        </w:rPr>
        <w:drawing>
          <wp:inline distT="0" distB="0" distL="114300" distR="114300">
            <wp:extent cx="3827780" cy="720090"/>
            <wp:effectExtent l="0" t="0" r="1270" b="3810"/>
            <wp:docPr id="2" name="图片 1" descr="C:/Users/Administrator/Desktop/图片1.pn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/Users/Administrator/Desktop/图片1.png图片1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2778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56DDA">
      <w:pPr>
        <w:jc w:val="center"/>
        <w:rPr>
          <w:color w:val="000000" w:themeColor="text1"/>
          <w:sz w:val="56"/>
        </w:rPr>
      </w:pPr>
    </w:p>
    <w:p w14:paraId="6E543197">
      <w:pPr>
        <w:jc w:val="center"/>
        <w:rPr>
          <w:color w:val="000000" w:themeColor="text1"/>
          <w:sz w:val="56"/>
        </w:rPr>
      </w:pPr>
    </w:p>
    <w:p w14:paraId="138DBC7B">
      <w:pPr>
        <w:jc w:val="center"/>
        <w:rPr>
          <w:rFonts w:ascii="黑体" w:hAnsi="黑体" w:eastAsia="黑体"/>
          <w:color w:val="000000" w:themeColor="text1"/>
          <w:sz w:val="52"/>
          <w:szCs w:val="72"/>
        </w:rPr>
      </w:pPr>
      <w:r>
        <w:rPr>
          <w:rFonts w:hint="eastAsia" w:ascii="黑体" w:hAnsi="黑体" w:eastAsia="黑体"/>
          <w:color w:val="000000" w:themeColor="text1"/>
          <w:sz w:val="52"/>
          <w:szCs w:val="72"/>
        </w:rPr>
        <w:t>《</w:t>
      </w:r>
      <w:r>
        <w:rPr>
          <w:rFonts w:hint="eastAsia" w:ascii="黑体" w:hAnsi="黑体" w:eastAsia="黑体"/>
          <w:color w:val="000000" w:themeColor="text1"/>
          <w:sz w:val="52"/>
          <w:szCs w:val="72"/>
          <w:lang w:val="en-US" w:eastAsia="zh-CN"/>
        </w:rPr>
        <w:t>24级新媒体创意实训</w:t>
      </w:r>
      <w:r>
        <w:rPr>
          <w:rFonts w:hint="eastAsia" w:ascii="黑体" w:hAnsi="黑体" w:eastAsia="黑体"/>
          <w:color w:val="000000" w:themeColor="text1"/>
          <w:sz w:val="52"/>
          <w:szCs w:val="72"/>
        </w:rPr>
        <w:t>》</w:t>
      </w:r>
      <w:r>
        <w:rPr>
          <w:rFonts w:hint="eastAsia" w:ascii="黑体" w:hAnsi="黑体" w:eastAsia="黑体"/>
          <w:color w:val="000000" w:themeColor="text1"/>
          <w:sz w:val="52"/>
          <w:szCs w:val="72"/>
        </w:rPr>
        <w:br w:type="textWrapping"/>
      </w:r>
      <w:r>
        <w:rPr>
          <w:rFonts w:hint="eastAsia" w:ascii="黑体" w:hAnsi="黑体" w:eastAsia="黑体"/>
          <w:color w:val="000000" w:themeColor="text1"/>
          <w:sz w:val="52"/>
          <w:szCs w:val="72"/>
          <w:lang w:val="en-US" w:eastAsia="zh-CN"/>
        </w:rPr>
        <w:t>任 务 指 导 书</w:t>
      </w:r>
    </w:p>
    <w:p w14:paraId="1715E35B">
      <w:pPr>
        <w:rPr>
          <w:color w:val="000000" w:themeColor="text1"/>
          <w:sz w:val="48"/>
        </w:rPr>
      </w:pPr>
    </w:p>
    <w:p w14:paraId="0CCFACB6">
      <w:pPr>
        <w:rPr>
          <w:color w:val="000000" w:themeColor="text1"/>
          <w:sz w:val="48"/>
        </w:rPr>
      </w:pPr>
    </w:p>
    <w:p w14:paraId="3DBFD4E1">
      <w:pPr>
        <w:rPr>
          <w:color w:val="000000" w:themeColor="text1"/>
          <w:sz w:val="48"/>
        </w:rPr>
      </w:pPr>
    </w:p>
    <w:p w14:paraId="69F24343">
      <w:pPr>
        <w:rPr>
          <w:color w:val="000000" w:themeColor="text1"/>
          <w:sz w:val="48"/>
        </w:rPr>
      </w:pPr>
    </w:p>
    <w:tbl>
      <w:tblPr>
        <w:tblStyle w:val="12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4374B5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261" w:type="dxa"/>
            <w:vAlign w:val="bottom"/>
          </w:tcPr>
          <w:p w14:paraId="53F88A71">
            <w:pPr>
              <w:jc w:val="right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二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级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学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院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>(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部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>)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：</w:t>
            </w:r>
          </w:p>
        </w:tc>
        <w:tc>
          <w:tcPr>
            <w:tcW w:w="4261" w:type="dxa"/>
            <w:tcBorders>
              <w:bottom w:val="single" w:color="auto" w:sz="12" w:space="0"/>
            </w:tcBorders>
            <w:vAlign w:val="bottom"/>
          </w:tcPr>
          <w:p w14:paraId="00E3EFD7">
            <w:pPr>
              <w:jc w:val="center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智能工程学院</w:t>
            </w:r>
          </w:p>
        </w:tc>
      </w:tr>
      <w:tr w14:paraId="739821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261" w:type="dxa"/>
            <w:vAlign w:val="bottom"/>
          </w:tcPr>
          <w:p w14:paraId="6F759AAC">
            <w:pPr>
              <w:jc w:val="right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执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笔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人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：</w:t>
            </w:r>
          </w:p>
        </w:tc>
        <w:tc>
          <w:tcPr>
            <w:tcW w:w="4261" w:type="dxa"/>
            <w:tcBorders>
              <w:top w:val="single" w:color="auto" w:sz="12" w:space="0"/>
              <w:bottom w:val="single" w:color="auto" w:sz="12" w:space="0"/>
            </w:tcBorders>
            <w:vAlign w:val="bottom"/>
          </w:tcPr>
          <w:p w14:paraId="0DBBAAE7">
            <w:pPr>
              <w:jc w:val="center"/>
              <w:rPr>
                <w:rFonts w:hint="default" w:eastAsiaTheme="minorEastAsia"/>
                <w:color w:val="000000" w:themeColor="text1"/>
                <w:sz w:val="48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  <w:lang w:val="en-US" w:eastAsia="zh-CN"/>
              </w:rPr>
              <w:t>韩金平 王玮 王艳军</w:t>
            </w:r>
          </w:p>
        </w:tc>
      </w:tr>
      <w:tr w14:paraId="0B9C2A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261" w:type="dxa"/>
            <w:vAlign w:val="bottom"/>
          </w:tcPr>
          <w:p w14:paraId="2E49430D">
            <w:pPr>
              <w:jc w:val="right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审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核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人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：</w:t>
            </w:r>
          </w:p>
        </w:tc>
        <w:tc>
          <w:tcPr>
            <w:tcW w:w="4261" w:type="dxa"/>
            <w:tcBorders>
              <w:top w:val="single" w:color="auto" w:sz="12" w:space="0"/>
              <w:bottom w:val="single" w:color="auto" w:sz="12" w:space="0"/>
            </w:tcBorders>
            <w:vAlign w:val="bottom"/>
          </w:tcPr>
          <w:p w14:paraId="4B9E1BC5">
            <w:pPr>
              <w:jc w:val="center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 xml:space="preserve">韩 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登</w:t>
            </w:r>
          </w:p>
        </w:tc>
      </w:tr>
      <w:tr w14:paraId="0566C8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261" w:type="dxa"/>
            <w:vAlign w:val="bottom"/>
          </w:tcPr>
          <w:p w14:paraId="0114C450">
            <w:pPr>
              <w:jc w:val="right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制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定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日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期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：</w:t>
            </w:r>
          </w:p>
        </w:tc>
        <w:tc>
          <w:tcPr>
            <w:tcW w:w="4261" w:type="dxa"/>
            <w:tcBorders>
              <w:top w:val="single" w:color="auto" w:sz="12" w:space="0"/>
              <w:bottom w:val="single" w:color="auto" w:sz="12" w:space="0"/>
            </w:tcBorders>
            <w:vAlign w:val="bottom"/>
          </w:tcPr>
          <w:p w14:paraId="14BBD854">
            <w:pPr>
              <w:jc w:val="center"/>
              <w:rPr>
                <w:color w:val="000000" w:themeColor="text1"/>
                <w:sz w:val="48"/>
              </w:rPr>
            </w:pP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>2025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年1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>1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月</w:t>
            </w:r>
          </w:p>
        </w:tc>
      </w:tr>
    </w:tbl>
    <w:p w14:paraId="63653D4A">
      <w:pPr>
        <w:rPr>
          <w:color w:val="000000" w:themeColor="text1"/>
          <w:sz w:val="44"/>
          <w:u w:val="single"/>
        </w:rPr>
      </w:pPr>
    </w:p>
    <w:p w14:paraId="30508B97">
      <w:pPr>
        <w:rPr>
          <w:color w:val="000000" w:themeColor="text1"/>
          <w:sz w:val="44"/>
          <w:u w:val="single"/>
        </w:rPr>
      </w:pPr>
    </w:p>
    <w:p w14:paraId="521AA057">
      <w:pPr>
        <w:rPr>
          <w:color w:val="000000" w:themeColor="text1"/>
          <w:sz w:val="44"/>
          <w:u w:val="single"/>
        </w:rPr>
      </w:pPr>
    </w:p>
    <w:p w14:paraId="380039EF">
      <w:pPr>
        <w:rPr>
          <w:color w:val="000000" w:themeColor="text1"/>
          <w:sz w:val="44"/>
          <w:u w:val="single"/>
        </w:rPr>
      </w:pPr>
    </w:p>
    <w:p w14:paraId="7BBB62CF">
      <w:pPr>
        <w:jc w:val="center"/>
        <w:rPr>
          <w:b/>
          <w:color w:val="000000" w:themeColor="text1"/>
          <w:sz w:val="28"/>
        </w:rPr>
      </w:pPr>
      <w:bookmarkStart w:id="0" w:name="_Toc4739_WPSOffice_Level1"/>
      <w:r>
        <w:rPr>
          <w:rFonts w:hint="eastAsia"/>
          <w:b/>
          <w:color w:val="000000" w:themeColor="text1"/>
          <w:sz w:val="28"/>
        </w:rPr>
        <w:t>吉林水利电力职业学院</w:t>
      </w:r>
      <w:bookmarkEnd w:id="0"/>
      <w:r>
        <w:rPr>
          <w:rFonts w:hint="eastAsia"/>
          <w:b/>
          <w:color w:val="000000" w:themeColor="text1"/>
          <w:sz w:val="28"/>
        </w:rPr>
        <w:t>智能工程学院</w:t>
      </w:r>
    </w:p>
    <w:p w14:paraId="5ECA88FF">
      <w:pPr>
        <w:jc w:val="center"/>
        <w:rPr>
          <w:b/>
          <w:color w:val="000000" w:themeColor="text1"/>
          <w:sz w:val="28"/>
        </w:rPr>
      </w:pPr>
      <w:bookmarkStart w:id="1" w:name="_Toc20571_WPSOffice_Level1"/>
      <w:r>
        <w:rPr>
          <w:b/>
          <w:color w:val="000000" w:themeColor="text1"/>
          <w:sz w:val="28"/>
        </w:rPr>
        <w:t>202</w:t>
      </w:r>
      <w:r>
        <w:rPr>
          <w:rFonts w:hint="eastAsia"/>
          <w:b/>
          <w:color w:val="000000" w:themeColor="text1"/>
          <w:sz w:val="28"/>
        </w:rPr>
        <w:t>5年</w:t>
      </w:r>
      <w:r>
        <w:rPr>
          <w:b/>
          <w:color w:val="000000" w:themeColor="text1"/>
          <w:sz w:val="28"/>
        </w:rPr>
        <w:t>11</w:t>
      </w:r>
      <w:r>
        <w:rPr>
          <w:rFonts w:hint="eastAsia"/>
          <w:b/>
          <w:color w:val="000000" w:themeColor="text1"/>
          <w:sz w:val="28"/>
        </w:rPr>
        <w:t>月</w:t>
      </w:r>
      <w:bookmarkEnd w:id="1"/>
    </w:p>
    <w:p w14:paraId="09ECB066">
      <w:pPr>
        <w:widowControl/>
        <w:spacing w:line="360" w:lineRule="auto"/>
        <w:rPr>
          <w:rFonts w:asciiTheme="minorEastAsia" w:hAnsiTheme="minorEastAsia"/>
          <w:sz w:val="24"/>
          <w:szCs w:val="24"/>
        </w:rPr>
      </w:pPr>
    </w:p>
    <w:p w14:paraId="30FCBEBC">
      <w:pPr>
        <w:widowControl/>
        <w:spacing w:line="360" w:lineRule="auto"/>
        <w:rPr>
          <w:rFonts w:asciiTheme="minorEastAsia" w:hAnsiTheme="minorEastAsia"/>
          <w:sz w:val="24"/>
          <w:szCs w:val="24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sdt>
      <w:sdtPr>
        <w:rPr>
          <w:rFonts w:asciiTheme="minorHAnsi" w:hAnsiTheme="minorHAnsi" w:eastAsiaTheme="minorEastAsia" w:cstheme="minorBidi"/>
          <w:color w:val="auto"/>
          <w:kern w:val="2"/>
          <w:sz w:val="21"/>
          <w:szCs w:val="22"/>
          <w:lang w:val="zh-CN"/>
        </w:rPr>
        <w:id w:val="-1371912873"/>
        <w:docPartObj>
          <w:docPartGallery w:val="Table of Contents"/>
          <w:docPartUnique/>
        </w:docPartObj>
      </w:sdtPr>
      <w:sdtEndPr>
        <w:rPr>
          <w:rFonts w:ascii="宋体" w:hAnsi="宋体" w:eastAsia="宋体" w:cstheme="minorBidi"/>
          <w:b/>
          <w:bCs/>
          <w:color w:val="auto"/>
          <w:kern w:val="2"/>
          <w:sz w:val="28"/>
          <w:szCs w:val="28"/>
          <w:lang w:val="zh-CN"/>
        </w:rPr>
      </w:sdtEndPr>
      <w:sdtContent>
        <w:p w14:paraId="390C3348">
          <w:pPr>
            <w:pStyle w:val="19"/>
            <w:spacing w:before="312" w:beforeLines="100" w:after="312" w:afterLines="100" w:line="400" w:lineRule="exact"/>
            <w:jc w:val="center"/>
            <w:rPr>
              <w:rFonts w:ascii="黑体" w:hAnsi="黑体" w:eastAsia="黑体"/>
              <w:b/>
              <w:bCs/>
              <w:color w:val="auto"/>
              <w:sz w:val="44"/>
              <w:szCs w:val="44"/>
            </w:rPr>
          </w:pPr>
          <w:r>
            <w:rPr>
              <w:rFonts w:ascii="黑体" w:hAnsi="黑体" w:eastAsia="黑体"/>
              <w:b/>
              <w:bCs/>
              <w:color w:val="auto"/>
              <w:sz w:val="44"/>
              <w:szCs w:val="44"/>
              <w:lang w:val="zh-CN"/>
            </w:rPr>
            <w:t>目</w:t>
          </w:r>
          <w:r>
            <w:rPr>
              <w:rFonts w:hint="eastAsia" w:ascii="黑体" w:hAnsi="黑体" w:eastAsia="黑体"/>
              <w:b/>
              <w:bCs/>
              <w:color w:val="auto"/>
              <w:sz w:val="44"/>
              <w:szCs w:val="44"/>
              <w:lang w:val="zh-CN"/>
            </w:rPr>
            <w:t xml:space="preserve"> </w:t>
          </w:r>
          <w:r>
            <w:rPr>
              <w:rFonts w:ascii="黑体" w:hAnsi="黑体" w:eastAsia="黑体"/>
              <w:b/>
              <w:bCs/>
              <w:color w:val="auto"/>
              <w:sz w:val="44"/>
              <w:szCs w:val="44"/>
              <w:lang w:val="zh-CN"/>
            </w:rPr>
            <w:t xml:space="preserve">  录</w:t>
          </w:r>
        </w:p>
        <w:p w14:paraId="753D15F4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sz w:val="28"/>
              <w:szCs w:val="28"/>
            </w:rPr>
            <w:fldChar w:fldCharType="begin"/>
          </w:r>
          <w:r>
            <w:rPr>
              <w:rFonts w:ascii="宋体" w:hAnsi="宋体" w:eastAsia="宋体"/>
              <w:sz w:val="28"/>
              <w:szCs w:val="28"/>
            </w:rPr>
            <w:instrText xml:space="preserve"> TOC \o "1-3" \h \z \u </w:instrText>
          </w:r>
          <w:r>
            <w:rPr>
              <w:rFonts w:ascii="宋体" w:hAnsi="宋体" w:eastAsia="宋体"/>
              <w:sz w:val="28"/>
              <w:szCs w:val="28"/>
            </w:rPr>
            <w:fldChar w:fldCharType="separate"/>
          </w:r>
          <w:r>
            <w:rPr>
              <w:rFonts w:ascii="宋体" w:hAnsi="宋体" w:eastAsia="宋体"/>
              <w:szCs w:val="28"/>
            </w:rPr>
            <w:fldChar w:fldCharType="begin"/>
          </w:r>
          <w:r>
            <w:rPr>
              <w:rFonts w:ascii="宋体" w:hAnsi="宋体" w:eastAsia="宋体"/>
              <w:szCs w:val="28"/>
            </w:rPr>
            <w:instrText xml:space="preserve"> HYPERLINK \l _Toc3314 </w:instrText>
          </w:r>
          <w:r>
            <w:rPr>
              <w:rFonts w:ascii="宋体" w:hAnsi="宋体" w:eastAsia="宋体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</w:rPr>
            <w:t>一、实训目标</w:t>
          </w:r>
          <w:r>
            <w:tab/>
          </w:r>
          <w:r>
            <w:fldChar w:fldCharType="begin"/>
          </w:r>
          <w:r>
            <w:instrText xml:space="preserve"> PAGEREF _Toc3314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szCs w:val="28"/>
            </w:rPr>
            <w:fldChar w:fldCharType="end"/>
          </w:r>
        </w:p>
        <w:p w14:paraId="30523787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_Toc14891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 w:asciiTheme="majorEastAsia" w:hAnsiTheme="majorEastAsia" w:eastAsiaTheme="majorEastAsia" w:cstheme="majorEastAsia"/>
            </w:rPr>
            <w:t>二、实训内容与任务安排</w:t>
          </w:r>
          <w:r>
            <w:tab/>
          </w:r>
          <w:r>
            <w:fldChar w:fldCharType="begin"/>
          </w:r>
          <w:r>
            <w:instrText xml:space="preserve"> PAGEREF _Toc14891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67A4048D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_Toc20448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/>
            </w:rPr>
            <w:t>（一）基础技能训练（第</w:t>
          </w:r>
          <w:r>
            <w:rPr>
              <w:rFonts w:hint="eastAsia"/>
              <w:lang w:val="en-US" w:eastAsia="zh-CN"/>
            </w:rPr>
            <w:t>1-6课时</w:t>
          </w:r>
          <w:r>
            <w:rPr>
              <w:rFonts w:hint="default"/>
            </w:rPr>
            <w:t>）</w:t>
          </w:r>
          <w:r>
            <w:tab/>
          </w:r>
          <w:r>
            <w:fldChar w:fldCharType="begin"/>
          </w:r>
          <w:r>
            <w:instrText xml:space="preserve"> PAGEREF _Toc20448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5461DB03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_Toc5968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/>
            </w:rPr>
            <w:t>（二）核心项目实训（第</w:t>
          </w:r>
          <w:r>
            <w:rPr>
              <w:rFonts w:hint="eastAsia"/>
              <w:lang w:val="en-US" w:eastAsia="zh-CN"/>
            </w:rPr>
            <w:t>7-12课时</w:t>
          </w:r>
          <w:r>
            <w:rPr>
              <w:rFonts w:hint="default"/>
            </w:rPr>
            <w:t>）</w:t>
          </w:r>
          <w:r>
            <w:tab/>
          </w:r>
          <w:r>
            <w:fldChar w:fldCharType="begin"/>
          </w:r>
          <w:r>
            <w:instrText xml:space="preserve"> PAGEREF _Toc5968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6D50B5A6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_Toc17733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/>
              <w:lang w:eastAsia="zh-CN"/>
            </w:rPr>
            <w:t>（</w:t>
          </w:r>
          <w:r>
            <w:rPr>
              <w:rFonts w:hint="eastAsia"/>
              <w:lang w:val="en-US" w:eastAsia="zh-CN"/>
            </w:rPr>
            <w:t>三</w:t>
          </w:r>
          <w:r>
            <w:rPr>
              <w:rFonts w:hint="eastAsia"/>
              <w:lang w:eastAsia="zh-CN"/>
            </w:rPr>
            <w:t>）</w:t>
          </w:r>
          <w:r>
            <w:rPr>
              <w:rFonts w:hint="default"/>
            </w:rPr>
            <w:t>‌图文内容创作（第</w:t>
          </w:r>
          <w:r>
            <w:rPr>
              <w:rFonts w:hint="eastAsia"/>
              <w:lang w:val="en-US" w:eastAsia="zh-CN"/>
            </w:rPr>
            <w:t>13-18课时</w:t>
          </w:r>
          <w:r>
            <w:rPr>
              <w:rFonts w:hint="default"/>
            </w:rPr>
            <w:t>）‌</w:t>
          </w:r>
          <w:r>
            <w:tab/>
          </w:r>
          <w:r>
            <w:fldChar w:fldCharType="begin"/>
          </w:r>
          <w:r>
            <w:instrText xml:space="preserve"> PAGEREF _Toc17733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40E93960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_Toc5324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/>
              <w:lang w:eastAsia="zh-CN"/>
            </w:rPr>
            <w:t>（</w:t>
          </w:r>
          <w:r>
            <w:rPr>
              <w:rFonts w:hint="eastAsia"/>
              <w:lang w:val="en-US" w:eastAsia="zh-CN"/>
            </w:rPr>
            <w:t>四</w:t>
          </w:r>
          <w:r>
            <w:rPr>
              <w:rFonts w:hint="eastAsia"/>
              <w:lang w:eastAsia="zh-CN"/>
            </w:rPr>
            <w:t>）</w:t>
          </w:r>
          <w:r>
            <w:rPr>
              <w:rFonts w:hint="default"/>
              <w:lang w:eastAsia="zh-CN"/>
            </w:rPr>
            <w:t>‌直播实训（第</w:t>
          </w:r>
          <w:r>
            <w:rPr>
              <w:rFonts w:hint="eastAsia"/>
              <w:lang w:val="en-US" w:eastAsia="zh-CN"/>
            </w:rPr>
            <w:t>19-24课时</w:t>
          </w:r>
          <w:r>
            <w:rPr>
              <w:rFonts w:hint="default"/>
              <w:lang w:eastAsia="zh-CN"/>
            </w:rPr>
            <w:t>）‌</w:t>
          </w:r>
          <w:r>
            <w:tab/>
          </w:r>
          <w:r>
            <w:fldChar w:fldCharType="begin"/>
          </w:r>
          <w:r>
            <w:instrText xml:space="preserve"> PAGEREF _Toc5324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47A9D544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_Toc10104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/>
              <w:lang w:eastAsia="zh-CN"/>
            </w:rPr>
            <w:t>（</w:t>
          </w:r>
          <w:r>
            <w:rPr>
              <w:rFonts w:hint="eastAsia"/>
              <w:lang w:val="en-US" w:eastAsia="zh-CN"/>
            </w:rPr>
            <w:t>五</w:t>
          </w:r>
          <w:r>
            <w:rPr>
              <w:rFonts w:hint="default"/>
              <w:lang w:eastAsia="zh-CN"/>
            </w:rPr>
            <w:t>）综合实战（第</w:t>
          </w:r>
          <w:r>
            <w:rPr>
              <w:rFonts w:hint="eastAsia"/>
              <w:lang w:val="en-US" w:eastAsia="zh-CN"/>
            </w:rPr>
            <w:t>25-32课时</w:t>
          </w:r>
          <w:r>
            <w:rPr>
              <w:rFonts w:hint="default"/>
              <w:lang w:eastAsia="zh-CN"/>
            </w:rPr>
            <w:t>）</w:t>
          </w:r>
          <w:r>
            <w:tab/>
          </w:r>
          <w:r>
            <w:fldChar w:fldCharType="begin"/>
          </w:r>
          <w:r>
            <w:instrText xml:space="preserve"> PAGEREF _Toc10104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76BA9CB2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_Toc860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 w:asciiTheme="majorEastAsia" w:hAnsiTheme="majorEastAsia" w:eastAsiaTheme="majorEastAsia" w:cstheme="majorEastAsia"/>
            </w:rPr>
            <w:t>三、实训要求</w:t>
          </w:r>
          <w:r>
            <w:tab/>
          </w:r>
          <w:r>
            <w:fldChar w:fldCharType="begin"/>
          </w:r>
          <w:r>
            <w:instrText xml:space="preserve"> PAGEREF _Toc860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09CA2E72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_Toc11492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 w:asciiTheme="majorEastAsia" w:hAnsiTheme="majorEastAsia" w:eastAsiaTheme="majorEastAsia" w:cstheme="majorEastAsia"/>
            </w:rPr>
            <w:t>四、实训步骤</w:t>
          </w:r>
          <w:r>
            <w:tab/>
          </w:r>
          <w:r>
            <w:fldChar w:fldCharType="begin"/>
          </w:r>
          <w:r>
            <w:instrText xml:space="preserve"> PAGEREF _Toc11492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419794D1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_Toc19937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/>
              <w:lang w:eastAsia="zh-CN"/>
            </w:rPr>
            <w:t>‌前期准备‌</w:t>
          </w:r>
          <w:r>
            <w:tab/>
          </w:r>
          <w:r>
            <w:fldChar w:fldCharType="begin"/>
          </w:r>
          <w:r>
            <w:instrText xml:space="preserve"> PAGEREF _Toc19937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16B619C6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_Toc21147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/>
              <w:lang w:eastAsia="zh-CN"/>
            </w:rPr>
            <w:t>‌中期执行‌</w:t>
          </w:r>
          <w:r>
            <w:tab/>
          </w:r>
          <w:r>
            <w:fldChar w:fldCharType="begin"/>
          </w:r>
          <w:r>
            <w:instrText xml:space="preserve"> PAGEREF _Toc21147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5499E52F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_Toc3084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/>
              <w:lang w:eastAsia="zh-CN"/>
            </w:rPr>
            <w:t>‌后期总结‌</w:t>
          </w:r>
          <w:r>
            <w:tab/>
          </w:r>
          <w:r>
            <w:fldChar w:fldCharType="begin"/>
          </w:r>
          <w:r>
            <w:instrText xml:space="preserve"> PAGEREF _Toc3084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1D1B6862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_Toc19658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 w:asciiTheme="majorEastAsia" w:hAnsiTheme="majorEastAsia" w:eastAsiaTheme="majorEastAsia" w:cstheme="majorEastAsia"/>
            </w:rPr>
            <w:t>五、考核标准</w:t>
          </w:r>
          <w:r>
            <w:tab/>
          </w:r>
          <w:r>
            <w:fldChar w:fldCharType="begin"/>
          </w:r>
          <w:r>
            <w:instrText xml:space="preserve"> PAGEREF _Toc19658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3A7C6AB5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_Toc14226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 w:asciiTheme="majorEastAsia" w:hAnsiTheme="majorEastAsia" w:eastAsiaTheme="majorEastAsia" w:cstheme="majorEastAsia"/>
            </w:rPr>
            <w:t>六、资源支持</w:t>
          </w:r>
          <w:r>
            <w:tab/>
          </w:r>
          <w:r>
            <w:fldChar w:fldCharType="begin"/>
          </w:r>
          <w:r>
            <w:instrText xml:space="preserve"> PAGEREF _Toc14226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34DCDAF5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_Toc21410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 w:asciiTheme="majorEastAsia" w:hAnsiTheme="majorEastAsia" w:eastAsiaTheme="majorEastAsia" w:cstheme="majorEastAsia"/>
            </w:rPr>
            <w:t>七、注意事项</w:t>
          </w:r>
          <w:r>
            <w:tab/>
          </w:r>
          <w:r>
            <w:fldChar w:fldCharType="begin"/>
          </w:r>
          <w:r>
            <w:instrText xml:space="preserve"> PAGEREF _Toc21410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1148F2C2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_Toc32743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 w:asciiTheme="majorEastAsia" w:hAnsiTheme="majorEastAsia" w:eastAsiaTheme="majorEastAsia" w:cstheme="majorEastAsia"/>
            </w:rPr>
            <w:t>八、附录</w:t>
          </w:r>
          <w:r>
            <w:tab/>
          </w:r>
          <w:r>
            <w:fldChar w:fldCharType="begin"/>
          </w:r>
          <w:r>
            <w:instrText xml:space="preserve"> PAGEREF _Toc32743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0375B40A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_Toc30894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lang w:val="en-US" w:eastAsia="zh-CN"/>
            </w:rPr>
            <w:t>九</w:t>
          </w:r>
          <w:r>
            <w:rPr>
              <w:rFonts w:hint="eastAsia" w:asciiTheme="majorEastAsia" w:hAnsiTheme="majorEastAsia" w:eastAsiaTheme="majorEastAsia" w:cstheme="majorEastAsia"/>
            </w:rPr>
            <w:t>、设备场地</w:t>
          </w:r>
          <w:r>
            <w:tab/>
          </w:r>
          <w:r>
            <w:fldChar w:fldCharType="begin"/>
          </w:r>
          <w:r>
            <w:instrText xml:space="preserve"> PAGEREF _Toc30894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241815DE">
          <w:pPr>
            <w:pStyle w:val="8"/>
            <w:tabs>
              <w:tab w:val="right" w:leader="dot" w:pos="8296"/>
            </w:tabs>
            <w:spacing w:line="500" w:lineRule="exact"/>
            <w:rPr>
              <w:rFonts w:ascii="宋体" w:hAnsi="宋体" w:eastAsia="宋体"/>
              <w:sz w:val="28"/>
              <w:szCs w:val="28"/>
            </w:rPr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</w:sdtContent>
    </w:sdt>
    <w:p w14:paraId="2EBF7202">
      <w:pPr>
        <w:widowControl/>
        <w:spacing w:line="360" w:lineRule="auto"/>
        <w:rPr>
          <w:rFonts w:asciiTheme="minorEastAsia" w:hAnsiTheme="minorEastAsia"/>
          <w:sz w:val="24"/>
          <w:szCs w:val="24"/>
        </w:rPr>
      </w:pPr>
    </w:p>
    <w:p w14:paraId="6B5FE6CE">
      <w:pPr>
        <w:widowControl/>
        <w:spacing w:line="360" w:lineRule="auto"/>
        <w:rPr>
          <w:rFonts w:asciiTheme="minorEastAsia" w:hAnsiTheme="minorEastAsia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19" w:name="_GoBack"/>
      <w:bookmarkEnd w:id="19"/>
    </w:p>
    <w:p w14:paraId="41F46119">
      <w:pPr>
        <w:pStyle w:val="3"/>
        <w:bidi w:val="0"/>
        <w:rPr>
          <w:rFonts w:hint="eastAsia" w:asciiTheme="majorEastAsia" w:hAnsiTheme="majorEastAsia" w:eastAsiaTheme="majorEastAsia" w:cstheme="majorEastAsia"/>
        </w:rPr>
      </w:pPr>
      <w:bookmarkStart w:id="2" w:name="_Toc3314"/>
      <w:r>
        <w:rPr>
          <w:rFonts w:hint="eastAsia" w:asciiTheme="majorEastAsia" w:hAnsiTheme="majorEastAsia" w:eastAsiaTheme="majorEastAsia" w:cstheme="majorEastAsia"/>
        </w:rPr>
        <w:t>一、实训目标</w:t>
      </w:r>
      <w:bookmarkEnd w:id="2"/>
    </w:p>
    <w:p w14:paraId="32195C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本实训旨在通过实战项目，培养学生掌握新媒体内容创作的核心技能，包括创意策划、内容生产、数据分析及团队协作能力。重点提升学生在短视频、图文、直播等新媒体形态下的创新思维与实操水平，为未来职业发展奠定坚实基础。</w:t>
      </w:r>
    </w:p>
    <w:p w14:paraId="6FA348FE">
      <w:pPr>
        <w:pStyle w:val="3"/>
        <w:bidi w:val="0"/>
        <w:jc w:val="left"/>
        <w:rPr>
          <w:rFonts w:hint="default" w:asciiTheme="majorEastAsia" w:hAnsiTheme="majorEastAsia" w:eastAsiaTheme="majorEastAsia" w:cstheme="majorEastAsia"/>
        </w:rPr>
      </w:pPr>
      <w:bookmarkStart w:id="3" w:name="_Toc14891"/>
      <w:r>
        <w:rPr>
          <w:rFonts w:hint="default" w:asciiTheme="majorEastAsia" w:hAnsiTheme="majorEastAsia" w:eastAsiaTheme="majorEastAsia" w:cstheme="majorEastAsia"/>
        </w:rPr>
        <w:t>二、实训内容与任务安排</w:t>
      </w:r>
      <w:bookmarkEnd w:id="3"/>
    </w:p>
    <w:p w14:paraId="1C8E09BB">
      <w:pPr>
        <w:pStyle w:val="4"/>
        <w:bidi w:val="0"/>
      </w:pPr>
      <w:bookmarkStart w:id="4" w:name="_Toc20448"/>
      <w:r>
        <w:rPr>
          <w:rFonts w:hint="default"/>
        </w:rPr>
        <w:t>（一）基础技能训练（第</w:t>
      </w:r>
      <w:r>
        <w:rPr>
          <w:rFonts w:hint="eastAsia"/>
          <w:lang w:val="en-US" w:eastAsia="zh-CN"/>
        </w:rPr>
        <w:t>1-6课时</w:t>
      </w:r>
      <w:r>
        <w:rPr>
          <w:rFonts w:hint="default"/>
        </w:rPr>
        <w:t>）</w:t>
      </w:r>
      <w:bookmarkEnd w:id="4"/>
    </w:p>
    <w:p w14:paraId="5DF73684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5" w:beforeAutospacing="0" w:after="105" w:afterAutospacing="0" w:line="435" w:lineRule="atLeast"/>
        <w:ind w:left="0" w:right="0"/>
        <w:jc w:val="left"/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  <w14:ligatures w14:val="standardContextual"/>
        </w:rPr>
      </w:pPr>
      <w:r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  <w14:ligatures w14:val="standardContextual"/>
        </w:rPr>
        <w:t>‌新媒体认知与工具学习‌</w:t>
      </w:r>
    </w:p>
    <w:p w14:paraId="1CA2DF6B">
      <w:pPr>
        <w:keepNext w:val="0"/>
        <w:keepLines w:val="0"/>
        <w:widowControl/>
        <w:numPr>
          <w:ilvl w:val="1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90" w:beforeAutospacing="0" w:after="90" w:afterAutospacing="0" w:line="420" w:lineRule="atLeast"/>
        <w:ind w:left="60" w:right="0" w:hanging="360"/>
        <w:jc w:val="left"/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  <w14:ligatures w14:val="standardContextual"/>
        </w:rPr>
      </w:pPr>
      <w:r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  <w14:ligatures w14:val="standardContextual"/>
        </w:rPr>
        <w:t>学习新媒体平台特性（如抖音、小红书、微信公众号）及用户行为分析。</w:t>
      </w:r>
    </w:p>
    <w:p w14:paraId="03B99E44">
      <w:pPr>
        <w:keepNext w:val="0"/>
        <w:keepLines w:val="0"/>
        <w:widowControl/>
        <w:numPr>
          <w:ilvl w:val="1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90" w:beforeAutospacing="0" w:after="90" w:afterAutospacing="0" w:line="420" w:lineRule="atLeast"/>
        <w:ind w:left="60" w:right="0" w:hanging="360"/>
        <w:jc w:val="left"/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  <w14:ligatures w14:val="standardContextual"/>
        </w:rPr>
      </w:pPr>
      <w:r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  <w14:ligatures w14:val="standardContextual"/>
        </w:rPr>
        <w:t>掌握基础工具：Photoshop（图像处理）、剪映（视频剪辑）、Canva（图文设计）。</w:t>
      </w:r>
    </w:p>
    <w:p w14:paraId="157EED6E">
      <w:pPr>
        <w:keepNext w:val="0"/>
        <w:keepLines w:val="0"/>
        <w:widowControl/>
        <w:numPr>
          <w:ilvl w:val="1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90" w:beforeAutospacing="0" w:after="90" w:afterAutospacing="0" w:line="420" w:lineRule="atLeast"/>
        <w:ind w:left="60" w:right="0" w:hanging="360"/>
        <w:jc w:val="left"/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  <w14:ligatures w14:val="standardContextual"/>
        </w:rPr>
      </w:pPr>
      <w:r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  <w14:ligatures w14:val="standardContextual"/>
        </w:rPr>
        <w:t>任务：完成一份平台用户画像分析报告。</w:t>
      </w:r>
    </w:p>
    <w:p w14:paraId="18A3B9AB">
      <w:pPr>
        <w:pStyle w:val="4"/>
        <w:bidi w:val="0"/>
        <w:rPr>
          <w:rFonts w:hint="default"/>
        </w:rPr>
      </w:pPr>
      <w:bookmarkStart w:id="5" w:name="_Toc5968"/>
      <w:r>
        <w:rPr>
          <w:rFonts w:hint="default"/>
        </w:rPr>
        <w:t>（二）核心项目实训（第</w:t>
      </w:r>
      <w:r>
        <w:rPr>
          <w:rFonts w:hint="eastAsia"/>
          <w:lang w:val="en-US" w:eastAsia="zh-CN"/>
        </w:rPr>
        <w:t>7-12课时</w:t>
      </w:r>
      <w:r>
        <w:rPr>
          <w:rFonts w:hint="default"/>
        </w:rPr>
        <w:t>）</w:t>
      </w:r>
      <w:bookmarkEnd w:id="5"/>
    </w:p>
    <w:p w14:paraId="15D37329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5" w:beforeAutospacing="0" w:after="105" w:afterAutospacing="0" w:line="435" w:lineRule="atLeast"/>
        <w:ind w:left="0" w:right="0"/>
        <w:jc w:val="left"/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  <w14:ligatures w14:val="standardContextual"/>
        </w:rPr>
      </w:pPr>
      <w:r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  <w14:ligatures w14:val="standardContextual"/>
        </w:rPr>
        <w:t>‌短视频创作</w:t>
      </w:r>
    </w:p>
    <w:p w14:paraId="33869010">
      <w:pPr>
        <w:keepNext w:val="0"/>
        <w:keepLines w:val="0"/>
        <w:widowControl/>
        <w:numPr>
          <w:ilvl w:val="1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90" w:beforeAutospacing="0" w:after="90" w:afterAutospacing="0" w:line="420" w:lineRule="atLeast"/>
        <w:ind w:left="60" w:right="0" w:hanging="360"/>
        <w:jc w:val="left"/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  <w14:ligatures w14:val="standardContextual"/>
        </w:rPr>
      </w:pPr>
      <w:r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  <w14:ligatures w14:val="standardContextual"/>
        </w:rPr>
        <w:t>‌策划阶段‌：确定主题（如“传统文化新表达”）、编写脚本、设计分镜。</w:t>
      </w:r>
    </w:p>
    <w:p w14:paraId="53D062FF">
      <w:pPr>
        <w:keepNext w:val="0"/>
        <w:keepLines w:val="0"/>
        <w:widowControl/>
        <w:numPr>
          <w:ilvl w:val="1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90" w:beforeAutospacing="0" w:after="90" w:afterAutospacing="0" w:line="420" w:lineRule="atLeast"/>
        <w:ind w:left="60" w:right="0" w:hanging="360"/>
        <w:jc w:val="left"/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  <w14:ligatures w14:val="standardContextual"/>
        </w:rPr>
      </w:pPr>
      <w:r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  <w14:ligatures w14:val="standardContextual"/>
        </w:rPr>
        <w:t>‌拍摄阶段‌：运用多机位拍摄、稳定器使用、场景布置技巧。</w:t>
      </w:r>
    </w:p>
    <w:p w14:paraId="61870781">
      <w:pPr>
        <w:keepNext w:val="0"/>
        <w:keepLines w:val="0"/>
        <w:widowControl/>
        <w:numPr>
          <w:ilvl w:val="1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90" w:beforeAutospacing="0" w:after="90" w:afterAutospacing="0" w:line="420" w:lineRule="atLeast"/>
        <w:ind w:left="60" w:right="0" w:hanging="360"/>
        <w:jc w:val="left"/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  <w14:ligatures w14:val="standardContextual"/>
        </w:rPr>
      </w:pPr>
      <w:r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  <w14:ligatures w14:val="standardContextual"/>
        </w:rPr>
        <w:t>‌后期阶段‌：剪辑、配音、字幕添加、特效制作。</w:t>
      </w:r>
    </w:p>
    <w:p w14:paraId="713C066F">
      <w:pPr>
        <w:keepNext w:val="0"/>
        <w:keepLines w:val="0"/>
        <w:widowControl/>
        <w:numPr>
          <w:ilvl w:val="1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90" w:beforeAutospacing="0" w:after="90" w:afterAutospacing="0" w:line="420" w:lineRule="atLeast"/>
        <w:ind w:left="60" w:right="0" w:hanging="360"/>
        <w:jc w:val="left"/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  <w14:ligatures w14:val="standardContextual"/>
        </w:rPr>
      </w:pPr>
      <w:r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  <w14:ligatures w14:val="standardContextual"/>
        </w:rPr>
        <w:t>任务：制作1-3分钟短视频，要求内容原创、节奏紧凑、画面清晰‌1。</w:t>
      </w:r>
    </w:p>
    <w:p w14:paraId="4EC3A9F9">
      <w:pPr>
        <w:pStyle w:val="4"/>
        <w:bidi w:val="0"/>
        <w:rPr>
          <w:rFonts w:hint="default"/>
        </w:rPr>
      </w:pPr>
      <w:bookmarkStart w:id="6" w:name="_Toc17733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三</w:t>
      </w:r>
      <w:r>
        <w:rPr>
          <w:rFonts w:hint="eastAsia"/>
          <w:lang w:eastAsia="zh-CN"/>
        </w:rPr>
        <w:t>）</w:t>
      </w:r>
      <w:r>
        <w:rPr>
          <w:rFonts w:hint="default"/>
        </w:rPr>
        <w:t>‌图文内容创作（第</w:t>
      </w:r>
      <w:r>
        <w:rPr>
          <w:rFonts w:hint="eastAsia"/>
          <w:lang w:val="en-US" w:eastAsia="zh-CN"/>
        </w:rPr>
        <w:t>13-18课时</w:t>
      </w:r>
      <w:r>
        <w:rPr>
          <w:rFonts w:hint="default"/>
        </w:rPr>
        <w:t>）‌</w:t>
      </w:r>
      <w:bookmarkEnd w:id="6"/>
    </w:p>
    <w:p w14:paraId="49B6ED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学习标题撰写、排版设计、互动元素添加（如投票、问答）。</w:t>
      </w:r>
    </w:p>
    <w:p w14:paraId="4A7485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任务：创作一篇图文推送（如“校园美食探店”），包含图片、文字、超链接。</w:t>
      </w:r>
    </w:p>
    <w:p w14:paraId="0699132F">
      <w:pPr>
        <w:pStyle w:val="4"/>
        <w:bidi w:val="0"/>
        <w:rPr>
          <w:rFonts w:hint="default"/>
          <w:lang w:eastAsia="zh-CN"/>
        </w:rPr>
      </w:pPr>
      <w:bookmarkStart w:id="7" w:name="_Toc5324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四</w:t>
      </w:r>
      <w:r>
        <w:rPr>
          <w:rFonts w:hint="eastAsia"/>
          <w:lang w:eastAsia="zh-CN"/>
        </w:rPr>
        <w:t>）</w:t>
      </w:r>
      <w:r>
        <w:rPr>
          <w:rFonts w:hint="default"/>
          <w:lang w:eastAsia="zh-CN"/>
        </w:rPr>
        <w:t>‌直播实训（第</w:t>
      </w:r>
      <w:r>
        <w:rPr>
          <w:rFonts w:hint="eastAsia"/>
          <w:lang w:val="en-US" w:eastAsia="zh-CN"/>
        </w:rPr>
        <w:t>19-24课时</w:t>
      </w:r>
      <w:r>
        <w:rPr>
          <w:rFonts w:hint="default"/>
          <w:lang w:eastAsia="zh-CN"/>
        </w:rPr>
        <w:t>）‌</w:t>
      </w:r>
      <w:bookmarkEnd w:id="7"/>
    </w:p>
    <w:p w14:paraId="0F71EB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掌握直播设备调试、话术设计、互动技巧。</w:t>
      </w:r>
    </w:p>
    <w:p w14:paraId="1F8B5D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任务：完成一场30分钟主题直播（如“产品推荐”或“知识分享”）。</w:t>
      </w:r>
    </w:p>
    <w:p w14:paraId="312991A7">
      <w:pPr>
        <w:pStyle w:val="4"/>
        <w:bidi w:val="0"/>
        <w:rPr>
          <w:rFonts w:hint="default"/>
          <w:lang w:eastAsia="zh-CN"/>
        </w:rPr>
      </w:pPr>
      <w:bookmarkStart w:id="8" w:name="_Toc10104"/>
      <w:r>
        <w:rPr>
          <w:rFonts w:hint="default"/>
          <w:lang w:eastAsia="zh-CN"/>
        </w:rPr>
        <w:t>（</w:t>
      </w:r>
      <w:r>
        <w:rPr>
          <w:rFonts w:hint="eastAsia"/>
          <w:lang w:val="en-US" w:eastAsia="zh-CN"/>
        </w:rPr>
        <w:t>五</w:t>
      </w:r>
      <w:r>
        <w:rPr>
          <w:rFonts w:hint="default"/>
          <w:lang w:eastAsia="zh-CN"/>
        </w:rPr>
        <w:t>）综合实战（第</w:t>
      </w:r>
      <w:r>
        <w:rPr>
          <w:rFonts w:hint="eastAsia"/>
          <w:lang w:val="en-US" w:eastAsia="zh-CN"/>
        </w:rPr>
        <w:t>25-32课时</w:t>
      </w:r>
      <w:r>
        <w:rPr>
          <w:rFonts w:hint="default"/>
          <w:lang w:eastAsia="zh-CN"/>
        </w:rPr>
        <w:t>）</w:t>
      </w:r>
      <w:bookmarkEnd w:id="8"/>
    </w:p>
    <w:p w14:paraId="26222B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‌团队项目‌：分组完成一个新媒体营销方案，包括目标设定、内容规划、执行排期、效果评估。</w:t>
      </w:r>
    </w:p>
    <w:p w14:paraId="2E88EE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‌成果展示‌：通过路演形式汇报项目，接受评委提问‌1。</w:t>
      </w:r>
    </w:p>
    <w:p w14:paraId="6082D7E4">
      <w:pPr>
        <w:pStyle w:val="3"/>
        <w:bidi w:val="0"/>
        <w:jc w:val="left"/>
        <w:rPr>
          <w:rFonts w:hint="default" w:asciiTheme="majorEastAsia" w:hAnsiTheme="majorEastAsia" w:eastAsiaTheme="majorEastAsia" w:cstheme="majorEastAsia"/>
        </w:rPr>
      </w:pPr>
      <w:bookmarkStart w:id="9" w:name="_Toc860"/>
      <w:r>
        <w:rPr>
          <w:rFonts w:hint="default" w:asciiTheme="majorEastAsia" w:hAnsiTheme="majorEastAsia" w:eastAsiaTheme="majorEastAsia" w:cstheme="majorEastAsia"/>
        </w:rPr>
        <w:t>三、实训要求</w:t>
      </w:r>
      <w:bookmarkEnd w:id="9"/>
    </w:p>
    <w:p w14:paraId="220A71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‌创意性‌：内容需新颖独特，避免同质化，体现个人或团队风格。</w:t>
      </w:r>
    </w:p>
    <w:p w14:paraId="6AD849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‌技术性‌：画面清晰、音质良好、剪辑流畅，符合平台技术规范。</w:t>
      </w:r>
    </w:p>
    <w:p w14:paraId="600E4A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‌规范性‌：遵守版权法规，使用正版素材，标注引用来源。</w:t>
      </w:r>
    </w:p>
    <w:p w14:paraId="00F723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‌数据驱动‌：通过后台数据分析内容表现，优化后续创作‌1。</w:t>
      </w:r>
    </w:p>
    <w:p w14:paraId="5971E603">
      <w:pPr>
        <w:pStyle w:val="3"/>
        <w:bidi w:val="0"/>
        <w:jc w:val="left"/>
        <w:rPr>
          <w:rFonts w:hint="default" w:asciiTheme="majorEastAsia" w:hAnsiTheme="majorEastAsia" w:eastAsiaTheme="majorEastAsia" w:cstheme="majorEastAsia"/>
        </w:rPr>
      </w:pPr>
      <w:bookmarkStart w:id="10" w:name="_Toc11492"/>
      <w:r>
        <w:rPr>
          <w:rFonts w:hint="default" w:asciiTheme="majorEastAsia" w:hAnsiTheme="majorEastAsia" w:eastAsiaTheme="majorEastAsia" w:cstheme="majorEastAsia"/>
        </w:rPr>
        <w:t>四、实训步骤</w:t>
      </w:r>
      <w:bookmarkEnd w:id="10"/>
    </w:p>
    <w:p w14:paraId="7153CE80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90" w:beforeAutospacing="0" w:after="90" w:afterAutospacing="0" w:line="420" w:lineRule="atLeast"/>
        <w:ind w:left="0" w:right="0" w:hanging="360"/>
        <w:jc w:val="left"/>
      </w:pPr>
    </w:p>
    <w:p w14:paraId="5B15BAB1">
      <w:pPr>
        <w:pStyle w:val="4"/>
        <w:bidi w:val="0"/>
        <w:rPr>
          <w:rFonts w:hint="default"/>
          <w:lang w:eastAsia="zh-CN"/>
        </w:rPr>
      </w:pPr>
      <w:bookmarkStart w:id="11" w:name="_Toc19937"/>
      <w:r>
        <w:rPr>
          <w:rFonts w:hint="default"/>
          <w:lang w:eastAsia="zh-CN"/>
        </w:rPr>
        <w:t>‌前期准备‌</w:t>
      </w:r>
      <w:bookmarkEnd w:id="11"/>
    </w:p>
    <w:p w14:paraId="08308ECE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90" w:beforeAutospacing="0" w:after="90" w:afterAutospacing="0" w:line="420" w:lineRule="atLeast"/>
        <w:ind w:left="0" w:right="0" w:hanging="360"/>
        <w:jc w:val="left"/>
      </w:pPr>
    </w:p>
    <w:p w14:paraId="71DCC3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分组（3-5人/组），确定组长及分工。</w:t>
      </w:r>
    </w:p>
    <w:p w14:paraId="26FC86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提交项目计划书，包括主题、目标、时间表。</w:t>
      </w:r>
    </w:p>
    <w:p w14:paraId="0DF33835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90" w:beforeAutospacing="0" w:after="90" w:afterAutospacing="0" w:line="420" w:lineRule="atLeast"/>
        <w:ind w:left="0" w:right="0" w:hanging="360"/>
        <w:jc w:val="left"/>
      </w:pPr>
    </w:p>
    <w:p w14:paraId="106F113B">
      <w:pPr>
        <w:pStyle w:val="4"/>
        <w:bidi w:val="0"/>
        <w:rPr>
          <w:rFonts w:hint="default"/>
          <w:lang w:eastAsia="zh-CN"/>
        </w:rPr>
      </w:pPr>
      <w:bookmarkStart w:id="12" w:name="_Toc21147"/>
      <w:r>
        <w:rPr>
          <w:rFonts w:hint="default"/>
          <w:lang w:eastAsia="zh-CN"/>
        </w:rPr>
        <w:t>‌中期执行‌</w:t>
      </w:r>
      <w:bookmarkEnd w:id="12"/>
    </w:p>
    <w:p w14:paraId="3B81A7F0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90" w:beforeAutospacing="0" w:after="90" w:afterAutospacing="0" w:line="420" w:lineRule="atLeast"/>
        <w:ind w:left="0" w:right="0" w:hanging="360"/>
        <w:jc w:val="left"/>
      </w:pPr>
    </w:p>
    <w:p w14:paraId="75601E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按计划完成内容生产，定期提交进度报告。</w:t>
      </w:r>
    </w:p>
    <w:p w14:paraId="179288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教师提供一对一指导，解决技术或创意问题。</w:t>
      </w:r>
    </w:p>
    <w:p w14:paraId="33522949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90" w:beforeAutospacing="0" w:after="90" w:afterAutospacing="0" w:line="420" w:lineRule="atLeast"/>
        <w:ind w:left="0" w:right="0" w:hanging="360"/>
        <w:jc w:val="left"/>
      </w:pPr>
    </w:p>
    <w:p w14:paraId="407D1517">
      <w:pPr>
        <w:pStyle w:val="4"/>
        <w:bidi w:val="0"/>
        <w:rPr>
          <w:rFonts w:hint="default"/>
          <w:lang w:eastAsia="zh-CN"/>
        </w:rPr>
      </w:pPr>
      <w:bookmarkStart w:id="13" w:name="_Toc3084"/>
      <w:r>
        <w:rPr>
          <w:rFonts w:hint="default"/>
          <w:lang w:eastAsia="zh-CN"/>
        </w:rPr>
        <w:t>‌后期总结‌</w:t>
      </w:r>
      <w:bookmarkEnd w:id="13"/>
    </w:p>
    <w:p w14:paraId="1F6BC541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90" w:beforeAutospacing="0" w:after="90" w:afterAutospacing="0" w:line="420" w:lineRule="atLeast"/>
        <w:ind w:left="0" w:right="0" w:hanging="360"/>
        <w:jc w:val="left"/>
      </w:pPr>
    </w:p>
    <w:p w14:paraId="4D3B35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提交作品及创作文档（脚本、素材、数据报告）。</w:t>
      </w:r>
    </w:p>
    <w:p w14:paraId="1D02FC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开展互评与教师点评，形成改进建议‌1。</w:t>
      </w:r>
    </w:p>
    <w:p w14:paraId="7B4EC811">
      <w:pPr>
        <w:pStyle w:val="3"/>
        <w:bidi w:val="0"/>
        <w:jc w:val="left"/>
        <w:rPr>
          <w:rFonts w:hint="default" w:asciiTheme="majorEastAsia" w:hAnsiTheme="majorEastAsia" w:eastAsiaTheme="majorEastAsia" w:cstheme="majorEastAsia"/>
        </w:rPr>
      </w:pPr>
      <w:bookmarkStart w:id="14" w:name="_Toc19658"/>
      <w:r>
        <w:rPr>
          <w:rFonts w:hint="default" w:asciiTheme="majorEastAsia" w:hAnsiTheme="majorEastAsia" w:eastAsiaTheme="majorEastAsia" w:cstheme="majorEastAsia"/>
        </w:rPr>
        <w:t>五、考核标准</w:t>
      </w:r>
      <w:bookmarkEnd w:id="14"/>
    </w:p>
    <w:tbl>
      <w:tblPr>
        <w:tblW w:w="0" w:type="auto"/>
        <w:tblCellSpacing w:w="15" w:type="dxa"/>
        <w:tblInd w:w="1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55"/>
        <w:gridCol w:w="1005"/>
        <w:gridCol w:w="5942"/>
      </w:tblGrid>
      <w:tr w14:paraId="29221C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0" w:type="auto"/>
            <w:tcBorders>
              <w:top w:val="single" w:color="EDEEF0" w:sz="6" w:space="0"/>
              <w:left w:val="single" w:color="EDEEF0" w:sz="6" w:space="0"/>
              <w:bottom w:val="single" w:color="EDEEF0" w:sz="6" w:space="0"/>
              <w:right w:val="single" w:color="EDEEF0" w:sz="6" w:space="0"/>
            </w:tcBorders>
            <w:shd w:val="clear" w:color="auto" w:fill="F5F6F9"/>
            <w:noWrap/>
            <w:tcMar>
              <w:top w:w="158" w:type="dxa"/>
              <w:left w:w="240" w:type="dxa"/>
              <w:bottom w:w="113" w:type="dxa"/>
              <w:right w:w="240" w:type="dxa"/>
            </w:tcMar>
            <w:vAlign w:val="center"/>
          </w:tcPr>
          <w:p w14:paraId="2BC634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Arial" w:hAnsi="Arial" w:eastAsia="Arial" w:cs="Arial"/>
                <w:i w:val="0"/>
                <w:iCs w:val="0"/>
                <w:caps w:val="0"/>
                <w:color w:val="848691"/>
                <w:spacing w:val="0"/>
                <w:sz w:val="24"/>
                <w:szCs w:val="24"/>
              </w:rPr>
            </w:pPr>
            <w:r>
              <w:rPr>
                <w:rFonts w:hint="default" w:ascii="Arial" w:hAnsi="Arial" w:eastAsia="Arial" w:cs="Arial"/>
                <w:i w:val="0"/>
                <w:iCs w:val="0"/>
                <w:caps w:val="0"/>
                <w:color w:val="848691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  <w14:ligatures w14:val="standardContextual"/>
              </w:rPr>
              <w:t>考核项目</w:t>
            </w:r>
          </w:p>
        </w:tc>
        <w:tc>
          <w:tcPr>
            <w:tcW w:w="0" w:type="auto"/>
            <w:tcBorders>
              <w:top w:val="single" w:color="EDEEF0" w:sz="6" w:space="0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5F6F9"/>
            <w:noWrap/>
            <w:tcMar>
              <w:top w:w="158" w:type="dxa"/>
              <w:left w:w="240" w:type="dxa"/>
              <w:bottom w:w="113" w:type="dxa"/>
              <w:right w:w="240" w:type="dxa"/>
            </w:tcMar>
            <w:vAlign w:val="center"/>
          </w:tcPr>
          <w:p w14:paraId="609130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Arial" w:hAnsi="Arial" w:eastAsia="Arial" w:cs="Arial"/>
                <w:i w:val="0"/>
                <w:iCs w:val="0"/>
                <w:caps w:val="0"/>
                <w:color w:val="848691"/>
                <w:spacing w:val="0"/>
                <w:sz w:val="24"/>
                <w:szCs w:val="24"/>
              </w:rPr>
            </w:pPr>
            <w:r>
              <w:rPr>
                <w:rFonts w:hint="default" w:ascii="Arial" w:hAnsi="Arial" w:eastAsia="Arial" w:cs="Arial"/>
                <w:i w:val="0"/>
                <w:iCs w:val="0"/>
                <w:caps w:val="0"/>
                <w:color w:val="848691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  <w14:ligatures w14:val="standardContextual"/>
              </w:rPr>
              <w:t>权重</w:t>
            </w:r>
          </w:p>
        </w:tc>
        <w:tc>
          <w:tcPr>
            <w:tcW w:w="5882" w:type="dxa"/>
            <w:tcBorders>
              <w:top w:val="single" w:color="EDEEF0" w:sz="6" w:space="0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5F6F9"/>
            <w:noWrap/>
            <w:tcMar>
              <w:top w:w="158" w:type="dxa"/>
              <w:left w:w="240" w:type="dxa"/>
              <w:bottom w:w="113" w:type="dxa"/>
              <w:right w:w="240" w:type="dxa"/>
            </w:tcMar>
            <w:vAlign w:val="center"/>
          </w:tcPr>
          <w:p w14:paraId="0DEF72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Arial" w:hAnsi="Arial" w:eastAsia="Arial" w:cs="Arial"/>
                <w:i w:val="0"/>
                <w:iCs w:val="0"/>
                <w:caps w:val="0"/>
                <w:color w:val="848691"/>
                <w:spacing w:val="0"/>
                <w:sz w:val="24"/>
                <w:szCs w:val="24"/>
              </w:rPr>
            </w:pPr>
            <w:r>
              <w:rPr>
                <w:rFonts w:hint="default" w:ascii="Arial" w:hAnsi="Arial" w:eastAsia="Arial" w:cs="Arial"/>
                <w:i w:val="0"/>
                <w:iCs w:val="0"/>
                <w:caps w:val="0"/>
                <w:color w:val="848691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  <w14:ligatures w14:val="standardContextual"/>
              </w:rPr>
              <w:t>评分细则</w:t>
            </w:r>
          </w:p>
        </w:tc>
      </w:tr>
      <w:tr w14:paraId="74B48E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single" w:color="EDEEF0" w:sz="6" w:space="0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3EF83A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内容创意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539D2A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30%</w:t>
            </w:r>
          </w:p>
        </w:tc>
        <w:tc>
          <w:tcPr>
            <w:tcW w:w="5882" w:type="dxa"/>
            <w:tcBorders>
              <w:top w:val="nil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5E295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主题新颖性、表现力、情感共鸣</w:t>
            </w:r>
          </w:p>
        </w:tc>
      </w:tr>
      <w:tr w14:paraId="63DDD0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single" w:color="EDEEF0" w:sz="6" w:space="0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58A8F6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技术质量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705110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25%</w:t>
            </w:r>
          </w:p>
        </w:tc>
        <w:tc>
          <w:tcPr>
            <w:tcW w:w="5882" w:type="dxa"/>
            <w:tcBorders>
              <w:top w:val="nil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01DDCF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画面稳定性、音效清晰度、剪辑流畅度</w:t>
            </w:r>
          </w:p>
        </w:tc>
      </w:tr>
      <w:tr w14:paraId="5BA9B0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single" w:color="EDEEF0" w:sz="6" w:space="0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2F27D3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数据表现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121E53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20%</w:t>
            </w:r>
          </w:p>
        </w:tc>
        <w:tc>
          <w:tcPr>
            <w:tcW w:w="5882" w:type="dxa"/>
            <w:tcBorders>
              <w:top w:val="nil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65434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播放量、互动率、用户留存率（如适用）</w:t>
            </w:r>
          </w:p>
        </w:tc>
      </w:tr>
      <w:tr w14:paraId="095F48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single" w:color="EDEEF0" w:sz="6" w:space="0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69B929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团队协作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32FB8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15%</w:t>
            </w:r>
          </w:p>
        </w:tc>
        <w:tc>
          <w:tcPr>
            <w:tcW w:w="5882" w:type="dxa"/>
            <w:tcBorders>
              <w:top w:val="nil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40770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分工合理性、沟通效率、问题解决能力</w:t>
            </w:r>
          </w:p>
        </w:tc>
      </w:tr>
      <w:tr w14:paraId="6D7C2F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single" w:color="EDEEF0" w:sz="6" w:space="0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6929CD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文档完整性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4974D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10%</w:t>
            </w:r>
          </w:p>
        </w:tc>
        <w:tc>
          <w:tcPr>
            <w:tcW w:w="5882" w:type="dxa"/>
            <w:tcBorders>
              <w:top w:val="nil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75285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计划书、脚本、素材库、数据报告齐全</w:t>
            </w:r>
          </w:p>
        </w:tc>
      </w:tr>
    </w:tbl>
    <w:p w14:paraId="33298034">
      <w:pPr>
        <w:pStyle w:val="3"/>
        <w:bidi w:val="0"/>
        <w:jc w:val="left"/>
        <w:rPr>
          <w:rFonts w:hint="default" w:asciiTheme="majorEastAsia" w:hAnsiTheme="majorEastAsia" w:eastAsiaTheme="majorEastAsia" w:cstheme="majorEastAsia"/>
        </w:rPr>
      </w:pPr>
      <w:bookmarkStart w:id="15" w:name="_Toc14226"/>
      <w:r>
        <w:rPr>
          <w:rFonts w:hint="default" w:asciiTheme="majorEastAsia" w:hAnsiTheme="majorEastAsia" w:eastAsiaTheme="majorEastAsia" w:cstheme="majorEastAsia"/>
        </w:rPr>
        <w:t>六、资源支持</w:t>
      </w:r>
      <w:bookmarkEnd w:id="15"/>
    </w:p>
    <w:p w14:paraId="7A4DDD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‌硬件设备‌：相机、稳定器、麦克风、灯光设备（实训室提供）。</w:t>
      </w:r>
    </w:p>
    <w:p w14:paraId="0B7249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‌软件工具‌：Adobe系列、剪映、Canva、飞书（协作平台）。</w:t>
      </w:r>
    </w:p>
    <w:p w14:paraId="52E090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‌学习资料‌：推荐书籍《新媒体内容创作指南》、平台官方教程‌1。</w:t>
      </w:r>
    </w:p>
    <w:p w14:paraId="085F46EB">
      <w:pPr>
        <w:pStyle w:val="3"/>
        <w:bidi w:val="0"/>
        <w:jc w:val="left"/>
        <w:rPr>
          <w:rFonts w:hint="default" w:asciiTheme="majorEastAsia" w:hAnsiTheme="majorEastAsia" w:eastAsiaTheme="majorEastAsia" w:cstheme="majorEastAsia"/>
        </w:rPr>
      </w:pPr>
      <w:bookmarkStart w:id="16" w:name="_Toc21410"/>
      <w:r>
        <w:rPr>
          <w:rFonts w:hint="default" w:asciiTheme="majorEastAsia" w:hAnsiTheme="majorEastAsia" w:eastAsiaTheme="majorEastAsia" w:cstheme="majorEastAsia"/>
        </w:rPr>
        <w:t>七、注意事项</w:t>
      </w:r>
      <w:bookmarkEnd w:id="16"/>
    </w:p>
    <w:p w14:paraId="048060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严格遵守实训室安全规范，正确使用设备。</w:t>
      </w:r>
    </w:p>
    <w:p w14:paraId="55F9AA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尊重知识产权，禁止抄袭或未经授权使用素材。</w:t>
      </w:r>
    </w:p>
    <w:p w14:paraId="753A12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保持积极态度，主动参与讨论与反馈，提升团队协作能力‌1。</w:t>
      </w:r>
    </w:p>
    <w:p w14:paraId="13AEFF9A">
      <w:pPr>
        <w:pStyle w:val="3"/>
        <w:bidi w:val="0"/>
        <w:jc w:val="left"/>
        <w:rPr>
          <w:rFonts w:hint="default" w:asciiTheme="majorEastAsia" w:hAnsiTheme="majorEastAsia" w:eastAsiaTheme="majorEastAsia" w:cstheme="majorEastAsia"/>
        </w:rPr>
      </w:pPr>
      <w:bookmarkStart w:id="17" w:name="_Toc32743"/>
      <w:r>
        <w:rPr>
          <w:rFonts w:hint="default" w:asciiTheme="majorEastAsia" w:hAnsiTheme="majorEastAsia" w:eastAsiaTheme="majorEastAsia" w:cstheme="majorEastAsia"/>
        </w:rPr>
        <w:t>八、附录</w:t>
      </w:r>
      <w:bookmarkEnd w:id="17"/>
    </w:p>
    <w:p w14:paraId="6674A1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常用新媒体平台运营规范（如抖音社区公约、小红书内容指南）。</w:t>
      </w:r>
    </w:p>
    <w:p w14:paraId="115222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优秀作品案例库（链接至校内资源平台）</w:t>
      </w:r>
    </w:p>
    <w:p w14:paraId="0E1473E3">
      <w:pPr>
        <w:pStyle w:val="3"/>
        <w:bidi w:val="0"/>
        <w:ind w:firstLine="361" w:firstLineChars="100"/>
        <w:jc w:val="left"/>
        <w:rPr>
          <w:rFonts w:hint="eastAsia" w:asciiTheme="majorEastAsia" w:hAnsiTheme="majorEastAsia" w:eastAsiaTheme="majorEastAsia" w:cstheme="majorEastAsia"/>
        </w:rPr>
      </w:pPr>
      <w:bookmarkStart w:id="18" w:name="_Toc30894"/>
      <w:r>
        <w:rPr>
          <w:rFonts w:hint="eastAsia" w:asciiTheme="majorEastAsia" w:hAnsiTheme="majorEastAsia" w:eastAsiaTheme="majorEastAsia" w:cstheme="majorEastAsia"/>
          <w:lang w:val="en-US" w:eastAsia="zh-CN"/>
        </w:rPr>
        <w:t>九</w:t>
      </w:r>
      <w:r>
        <w:rPr>
          <w:rFonts w:hint="eastAsia" w:asciiTheme="majorEastAsia" w:hAnsiTheme="majorEastAsia" w:eastAsiaTheme="majorEastAsia" w:cstheme="majorEastAsia"/>
        </w:rPr>
        <w:t>、设备场地</w:t>
      </w:r>
      <w:bookmarkEnd w:id="18"/>
    </w:p>
    <w:p w14:paraId="3BE6B4F7">
      <w:pPr>
        <w:widowControl/>
        <w:jc w:val="left"/>
        <w:rPr>
          <w:rFonts w:ascii="宋体" w:hAnsi="宋体"/>
          <w:b/>
          <w:color w:val="000000" w:themeColor="text1"/>
        </w:rPr>
      </w:pPr>
    </w:p>
    <w:p w14:paraId="49ED3A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/>
          <w:sz w:val="24"/>
          <w:szCs w:val="24"/>
        </w:rPr>
      </w:pPr>
      <w:r>
        <w:rPr>
          <w:rFonts w:hint="eastAsia"/>
          <w:sz w:val="24"/>
          <w:szCs w:val="24"/>
        </w:rPr>
        <w:t>表</w:t>
      </w:r>
      <w:r>
        <w:rPr>
          <w:rFonts w:hint="default"/>
          <w:sz w:val="24"/>
          <w:szCs w:val="24"/>
        </w:rPr>
        <w:t xml:space="preserve">6  </w:t>
      </w:r>
      <w:r>
        <w:rPr>
          <w:rFonts w:hint="eastAsia"/>
          <w:sz w:val="24"/>
          <w:szCs w:val="24"/>
        </w:rPr>
        <w:t>1</w:t>
      </w:r>
      <w:r>
        <w:rPr>
          <w:rFonts w:hint="default"/>
          <w:sz w:val="24"/>
          <w:szCs w:val="24"/>
        </w:rPr>
        <w:t>1-411</w:t>
      </w:r>
      <w:r>
        <w:rPr>
          <w:rFonts w:hint="eastAsia"/>
          <w:sz w:val="24"/>
          <w:szCs w:val="24"/>
        </w:rPr>
        <w:t>实训室</w:t>
      </w:r>
    </w:p>
    <w:tbl>
      <w:tblPr>
        <w:tblStyle w:val="11"/>
        <w:tblW w:w="935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531"/>
        <w:gridCol w:w="1729"/>
        <w:gridCol w:w="2127"/>
        <w:gridCol w:w="3260"/>
      </w:tblGrid>
      <w:tr w14:paraId="2AD7A34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2235" w:type="dxa"/>
            <w:gridSpan w:val="2"/>
            <w:tcBorders>
              <w:top w:val="single" w:color="auto" w:sz="12" w:space="0"/>
            </w:tcBorders>
            <w:vAlign w:val="center"/>
          </w:tcPr>
          <w:p w14:paraId="2CE576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实训室名称</w:t>
            </w:r>
          </w:p>
        </w:tc>
        <w:tc>
          <w:tcPr>
            <w:tcW w:w="1729" w:type="dxa"/>
            <w:tcBorders>
              <w:top w:val="single" w:color="auto" w:sz="12" w:space="0"/>
            </w:tcBorders>
            <w:vAlign w:val="center"/>
          </w:tcPr>
          <w:p w14:paraId="7A02C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default"/>
                <w:sz w:val="24"/>
                <w:szCs w:val="24"/>
              </w:rPr>
              <w:t>1-411</w:t>
            </w:r>
            <w:r>
              <w:rPr>
                <w:rFonts w:hint="eastAsia"/>
                <w:sz w:val="24"/>
                <w:szCs w:val="24"/>
              </w:rPr>
              <w:t>实训室</w:t>
            </w:r>
          </w:p>
        </w:tc>
        <w:tc>
          <w:tcPr>
            <w:tcW w:w="2127" w:type="dxa"/>
            <w:tcBorders>
              <w:top w:val="single" w:color="auto" w:sz="12" w:space="0"/>
            </w:tcBorders>
            <w:vAlign w:val="center"/>
          </w:tcPr>
          <w:p w14:paraId="58D98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面积要求</w:t>
            </w:r>
          </w:p>
        </w:tc>
        <w:tc>
          <w:tcPr>
            <w:tcW w:w="3260" w:type="dxa"/>
            <w:tcBorders>
              <w:top w:val="single" w:color="auto" w:sz="12" w:space="0"/>
            </w:tcBorders>
            <w:vAlign w:val="center"/>
          </w:tcPr>
          <w:p w14:paraId="2B926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</w:t>
            </w:r>
            <w:r>
              <w:rPr>
                <w:rFonts w:hint="default"/>
                <w:sz w:val="24"/>
                <w:szCs w:val="24"/>
              </w:rPr>
              <w:t>0</w:t>
            </w:r>
            <w:r>
              <w:rPr>
                <w:rFonts w:hint="eastAsia"/>
                <w:sz w:val="24"/>
                <w:szCs w:val="24"/>
              </w:rPr>
              <w:t>㎡</w:t>
            </w:r>
          </w:p>
        </w:tc>
      </w:tr>
      <w:tr w14:paraId="6AC9191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2D9FAC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3260" w:type="dxa"/>
            <w:gridSpan w:val="2"/>
            <w:vAlign w:val="center"/>
          </w:tcPr>
          <w:p w14:paraId="61AB0A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79BE4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数量要求</w:t>
            </w:r>
          </w:p>
        </w:tc>
        <w:tc>
          <w:tcPr>
            <w:tcW w:w="3260" w:type="dxa"/>
            <w:vAlign w:val="center"/>
          </w:tcPr>
          <w:p w14:paraId="14BE7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备注</w:t>
            </w:r>
          </w:p>
        </w:tc>
      </w:tr>
      <w:tr w14:paraId="7CAE14E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3FD4E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14:paraId="66983B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台式计算机</w:t>
            </w:r>
          </w:p>
        </w:tc>
        <w:tc>
          <w:tcPr>
            <w:tcW w:w="2127" w:type="dxa"/>
            <w:vAlign w:val="center"/>
          </w:tcPr>
          <w:p w14:paraId="7930C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46</w:t>
            </w:r>
            <w:r>
              <w:rPr>
                <w:rFonts w:hint="eastAsia"/>
                <w:sz w:val="24"/>
                <w:szCs w:val="24"/>
              </w:rPr>
              <w:t>套</w:t>
            </w:r>
          </w:p>
        </w:tc>
        <w:tc>
          <w:tcPr>
            <w:tcW w:w="3260" w:type="dxa"/>
            <w:vAlign w:val="center"/>
          </w:tcPr>
          <w:p w14:paraId="5F91EF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I</w:t>
            </w:r>
            <w:r>
              <w:rPr>
                <w:rFonts w:hint="default"/>
                <w:sz w:val="24"/>
                <w:szCs w:val="24"/>
              </w:rPr>
              <w:t>7-13700/16G/1T/3050 8G/23.8</w:t>
            </w:r>
            <w:r>
              <w:rPr>
                <w:rFonts w:hint="eastAsia"/>
                <w:sz w:val="24"/>
                <w:szCs w:val="24"/>
              </w:rPr>
              <w:t>显示器</w:t>
            </w:r>
          </w:p>
        </w:tc>
      </w:tr>
      <w:tr w14:paraId="1984E9B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3D6529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2</w:t>
            </w:r>
          </w:p>
        </w:tc>
        <w:tc>
          <w:tcPr>
            <w:tcW w:w="3260" w:type="dxa"/>
            <w:gridSpan w:val="2"/>
            <w:vAlign w:val="center"/>
          </w:tcPr>
          <w:p w14:paraId="6CEB76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索尼ILCE-7M4\A7M4</w:t>
            </w:r>
          </w:p>
          <w:p w14:paraId="202284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腾龙28-75</w:t>
            </w:r>
          </w:p>
        </w:tc>
        <w:tc>
          <w:tcPr>
            <w:tcW w:w="2127" w:type="dxa"/>
            <w:vAlign w:val="center"/>
          </w:tcPr>
          <w:p w14:paraId="67402E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1套</w:t>
            </w:r>
          </w:p>
        </w:tc>
        <w:tc>
          <w:tcPr>
            <w:tcW w:w="3260" w:type="dxa"/>
            <w:vAlign w:val="center"/>
          </w:tcPr>
          <w:p w14:paraId="244F83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含配套电池、存储卡</w:t>
            </w:r>
          </w:p>
        </w:tc>
      </w:tr>
    </w:tbl>
    <w:p w14:paraId="4A24F114">
      <w:pPr>
        <w:widowControl/>
        <w:jc w:val="left"/>
        <w:rPr>
          <w:rFonts w:asciiTheme="minorEastAsia" w:hAnsiTheme="minorEastAsia"/>
          <w:sz w:val="24"/>
          <w:szCs w:val="24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C49EB8">
    <w:pPr>
      <w:pStyle w:val="6"/>
      <w:jc w:val="center"/>
    </w:pPr>
  </w:p>
  <w:p w14:paraId="111A49A4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72776294"/>
      <w:docPartObj>
        <w:docPartGallery w:val="AutoText"/>
      </w:docPartObj>
    </w:sdtPr>
    <w:sdtContent>
      <w:p w14:paraId="46887B68">
        <w:pPr>
          <w:pStyle w:val="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7CF32F2D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C1C42A4"/>
    <w:multiLevelType w:val="multilevel"/>
    <w:tmpl w:val="EC1C42A4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/>
        <w:sz w:val="20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01AA43FE"/>
    <w:multiLevelType w:val="multilevel"/>
    <w:tmpl w:val="01AA43FE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compatSetting w:name="compatibilityMode" w:uri="http://schemas.microsoft.com/office/word" w:val="12"/>
  </w:compat>
  <w:rsids>
    <w:rsidRoot w:val="00AF414E"/>
    <w:rsid w:val="00042015"/>
    <w:rsid w:val="000746E9"/>
    <w:rsid w:val="00100F55"/>
    <w:rsid w:val="00141817"/>
    <w:rsid w:val="00171738"/>
    <w:rsid w:val="001915D2"/>
    <w:rsid w:val="001D2BBF"/>
    <w:rsid w:val="0029374D"/>
    <w:rsid w:val="003004FC"/>
    <w:rsid w:val="003140DE"/>
    <w:rsid w:val="00365845"/>
    <w:rsid w:val="00370A8A"/>
    <w:rsid w:val="003B24E1"/>
    <w:rsid w:val="003C421B"/>
    <w:rsid w:val="003C65EF"/>
    <w:rsid w:val="004923C8"/>
    <w:rsid w:val="00496673"/>
    <w:rsid w:val="004B43E8"/>
    <w:rsid w:val="0050758C"/>
    <w:rsid w:val="00533B7B"/>
    <w:rsid w:val="00585412"/>
    <w:rsid w:val="00585EAC"/>
    <w:rsid w:val="005B0532"/>
    <w:rsid w:val="005F1128"/>
    <w:rsid w:val="00632571"/>
    <w:rsid w:val="00641006"/>
    <w:rsid w:val="00690837"/>
    <w:rsid w:val="006C75ED"/>
    <w:rsid w:val="00765014"/>
    <w:rsid w:val="00765BD9"/>
    <w:rsid w:val="007A17A3"/>
    <w:rsid w:val="007D29D1"/>
    <w:rsid w:val="00814234"/>
    <w:rsid w:val="00881912"/>
    <w:rsid w:val="008B382F"/>
    <w:rsid w:val="008F31F9"/>
    <w:rsid w:val="00912B8E"/>
    <w:rsid w:val="009D027A"/>
    <w:rsid w:val="00A10DF5"/>
    <w:rsid w:val="00A1709F"/>
    <w:rsid w:val="00A50AAD"/>
    <w:rsid w:val="00A532BA"/>
    <w:rsid w:val="00AF414E"/>
    <w:rsid w:val="00B06A11"/>
    <w:rsid w:val="00B447FF"/>
    <w:rsid w:val="00B558D0"/>
    <w:rsid w:val="00B9477F"/>
    <w:rsid w:val="00CC7941"/>
    <w:rsid w:val="00D60A2F"/>
    <w:rsid w:val="00DD5EB9"/>
    <w:rsid w:val="00DF6410"/>
    <w:rsid w:val="00E26E9D"/>
    <w:rsid w:val="00E46046"/>
    <w:rsid w:val="00E67D5C"/>
    <w:rsid w:val="00EB32C0"/>
    <w:rsid w:val="00F77777"/>
    <w:rsid w:val="00F95A34"/>
    <w:rsid w:val="00FA0C89"/>
    <w:rsid w:val="2CBF1BAC"/>
    <w:rsid w:val="37B914D6"/>
    <w:rsid w:val="43B00A1D"/>
    <w:rsid w:val="468D77A9"/>
    <w:rsid w:val="5CD45B0E"/>
    <w:rsid w:val="6D527D69"/>
    <w:rsid w:val="7150215D"/>
    <w:rsid w:val="7BEB1C60"/>
    <w:rsid w:val="7BF42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unhideWhenUsed/>
    <w:qFormat/>
    <w:uiPriority w:val="9"/>
    <w:pPr>
      <w:spacing w:before="20" w:beforeLines="20" w:beforeAutospacing="0" w:after="20" w:afterLines="20" w:afterAutospacing="0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bidi="ar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semiHidden/>
    <w:unhideWhenUsed/>
    <w:uiPriority w:val="39"/>
    <w:pPr>
      <w:ind w:left="840" w:leftChars="400"/>
    </w:pPr>
  </w:style>
  <w:style w:type="paragraph" w:styleId="6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1"/>
    <w:basedOn w:val="1"/>
    <w:next w:val="1"/>
    <w:autoRedefine/>
    <w:unhideWhenUsed/>
    <w:qFormat/>
    <w:uiPriority w:val="39"/>
  </w:style>
  <w:style w:type="paragraph" w:styleId="9">
    <w:name w:val="toc 2"/>
    <w:basedOn w:val="1"/>
    <w:next w:val="1"/>
    <w:autoRedefine/>
    <w:unhideWhenUsed/>
    <w:uiPriority w:val="39"/>
    <w:pPr>
      <w:ind w:left="420" w:leftChars="200"/>
    </w:pPr>
  </w:style>
  <w:style w:type="paragraph" w:styleId="10">
    <w:name w:val="Normal (Web)"/>
    <w:basedOn w:val="1"/>
    <w:semiHidden/>
    <w:unhideWhenUsed/>
    <w:uiPriority w:val="99"/>
    <w:rPr>
      <w:sz w:val="24"/>
    </w:rPr>
  </w:style>
  <w:style w:type="table" w:styleId="12">
    <w:name w:val="Table Grid"/>
    <w:basedOn w:val="11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uiPriority w:val="22"/>
    <w:rPr>
      <w:b/>
    </w:rPr>
  </w:style>
  <w:style w:type="character" w:styleId="15">
    <w:name w:val="Hyperlink"/>
    <w:basedOn w:val="13"/>
    <w:unhideWhenUsed/>
    <w:uiPriority w:val="99"/>
    <w:rPr>
      <w:color w:val="0000FF" w:themeColor="hyperlink"/>
      <w:u w:val="single"/>
    </w:rPr>
  </w:style>
  <w:style w:type="character" w:customStyle="1" w:styleId="16">
    <w:name w:val="页眉 字符"/>
    <w:basedOn w:val="13"/>
    <w:link w:val="7"/>
    <w:qFormat/>
    <w:uiPriority w:val="99"/>
    <w:rPr>
      <w:sz w:val="18"/>
      <w:szCs w:val="18"/>
    </w:rPr>
  </w:style>
  <w:style w:type="character" w:customStyle="1" w:styleId="17">
    <w:name w:val="页脚 字符"/>
    <w:basedOn w:val="13"/>
    <w:link w:val="6"/>
    <w:uiPriority w:val="99"/>
    <w:rPr>
      <w:sz w:val="18"/>
      <w:szCs w:val="18"/>
    </w:rPr>
  </w:style>
  <w:style w:type="character" w:customStyle="1" w:styleId="18">
    <w:name w:val="标题 1 字符"/>
    <w:basedOn w:val="13"/>
    <w:link w:val="2"/>
    <w:uiPriority w:val="9"/>
    <w:rPr>
      <w:b/>
      <w:bCs/>
      <w:kern w:val="44"/>
      <w:sz w:val="44"/>
      <w:szCs w:val="44"/>
    </w:rPr>
  </w:style>
  <w:style w:type="paragraph" w:customStyle="1" w:styleId="19">
    <w:name w:val="TOC Heading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66091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6E765-C335-4A8B-A281-2B28414ACD3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6460</Words>
  <Characters>6826</Characters>
  <Lines>62</Lines>
  <Paragraphs>17</Paragraphs>
  <TotalTime>0</TotalTime>
  <ScaleCrop>false</ScaleCrop>
  <LinksUpToDate>false</LinksUpToDate>
  <CharactersWithSpaces>6971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2025-06-09T23:40:00Z</dcterms:created>
  <dc:creator>DELL</dc:creator>
  <cp:lastModifiedBy>现大职业技能培训</cp:lastModifiedBy>
  <dcterms:modified xsi:type="dcterms:W3CDTF">2025-11-29T10:08:58Z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eyJoZGlkIjoiNjYyMzNmNGUxNzE2NzM5ZmQ4NmQ2NzNhYTdkYjc1OTIiLCJ1c2VySWQiOiI2MzE3MzA5MjAifQ==</vt:lpwstr>
  </property>
  <property fmtid="{D5CDD505-2E9C-101B-9397-08002B2CF9AE}" pid="3" name="KSOProductBuildVer">
    <vt:lpwstr>2052-12.1.0.23542</vt:lpwstr>
  </property>
  <property fmtid="{D5CDD505-2E9C-101B-9397-08002B2CF9AE}" pid="4" name="ICV">
    <vt:lpwstr>865FA8005B37457CBB53E04D436E0276_12</vt:lpwstr>
  </property>
</Properties>
</file>