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C056A8D">
      <w:pPr>
        <w:jc w:val="center"/>
        <w:rPr>
          <w:rFonts w:hint="eastAsia" w:ascii="楷体" w:hAnsi="楷体" w:eastAsia="楷体" w:cs="楷体"/>
          <w:b/>
          <w:bCs/>
          <w:color w:val="auto"/>
          <w:spacing w:val="57"/>
          <w:sz w:val="40"/>
          <w:szCs w:val="40"/>
          <w:lang w:eastAsia="zh-CN"/>
        </w:rPr>
      </w:pPr>
      <w:r>
        <w:rPr>
          <w:rFonts w:hint="eastAsia" w:ascii="楷体" w:hAnsi="楷体" w:eastAsia="楷体" w:cs="楷体"/>
          <w:b/>
          <w:bCs/>
          <w:color w:val="auto"/>
          <w:spacing w:val="57"/>
          <w:sz w:val="40"/>
          <w:szCs w:val="40"/>
          <w:em w:val="comma"/>
        </w:rPr>
        <w:t>七律</w:t>
      </w:r>
      <w:r>
        <w:rPr>
          <w:rFonts w:hint="eastAsia" w:ascii="楷体" w:hAnsi="楷体" w:eastAsia="楷体" w:cs="楷体"/>
          <w:b/>
          <w:bCs/>
          <w:color w:val="auto"/>
          <w:spacing w:val="57"/>
          <w:sz w:val="40"/>
          <w:szCs w:val="40"/>
        </w:rPr>
        <w:t>·</w:t>
      </w:r>
      <w:r>
        <w:rPr>
          <w:rFonts w:hint="eastAsia" w:ascii="楷体" w:hAnsi="楷体" w:eastAsia="楷体" w:cs="楷体"/>
          <w:b/>
          <w:bCs/>
          <w:color w:val="auto"/>
          <w:spacing w:val="57"/>
          <w:sz w:val="40"/>
          <w:szCs w:val="40"/>
          <w:em w:val="dot"/>
          <w:lang w:eastAsia="zh-CN"/>
        </w:rPr>
        <w:t>长征</w:t>
      </w:r>
    </w:p>
    <w:p w14:paraId="1A8F87D3">
      <w:pPr>
        <w:jc w:val="center"/>
        <w:rPr>
          <w:rFonts w:hint="eastAsia" w:ascii="楷体" w:hAnsi="楷体" w:eastAsia="楷体" w:cs="楷体"/>
          <w:color w:val="auto"/>
          <w:sz w:val="21"/>
          <w:szCs w:val="21"/>
          <w:lang w:val="en-US" w:eastAsia="zh-CN"/>
        </w:rPr>
      </w:pPr>
      <w:r>
        <w:rPr>
          <w:rFonts w:hint="eastAsia" w:ascii="楷体" w:hAnsi="楷体" w:eastAsia="楷体" w:cs="楷体"/>
          <w:color w:val="auto"/>
          <w:sz w:val="21"/>
          <w:szCs w:val="21"/>
          <w:lang w:val="en-US" w:eastAsia="zh-CN"/>
        </w:rPr>
        <w:t>毛泽东</w:t>
      </w:r>
    </w:p>
    <w:p w14:paraId="509DC8EE">
      <w:pPr>
        <w:jc w:val="center"/>
        <w:rPr>
          <w:rFonts w:hint="eastAsia" w:ascii="楷体" w:hAnsi="楷体" w:eastAsia="楷体" w:cs="楷体"/>
          <w:color w:val="auto"/>
          <w:sz w:val="21"/>
          <w:szCs w:val="21"/>
        </w:rPr>
      </w:pPr>
      <w:bookmarkStart w:id="0" w:name="OLE_LINK1"/>
      <w:r>
        <w:rPr>
          <w:rFonts w:hint="eastAsia" w:ascii="楷体" w:hAnsi="楷体" w:eastAsia="楷体" w:cs="楷体"/>
          <w:color w:val="auto"/>
          <w:sz w:val="21"/>
          <w:szCs w:val="21"/>
        </w:rPr>
        <w:t>红军不怕远征难，万水千山只等闲。</w:t>
      </w:r>
    </w:p>
    <w:p w14:paraId="060417FA">
      <w:pPr>
        <w:jc w:val="center"/>
        <w:rPr>
          <w:rFonts w:hint="eastAsia" w:ascii="楷体" w:hAnsi="楷体" w:eastAsia="楷体" w:cs="楷体"/>
          <w:color w:val="auto"/>
          <w:sz w:val="21"/>
          <w:szCs w:val="21"/>
        </w:rPr>
      </w:pPr>
      <w:r>
        <w:rPr>
          <w:rFonts w:hint="eastAsia" w:ascii="楷体" w:hAnsi="楷体" w:eastAsia="楷体" w:cs="楷体"/>
          <w:color w:val="auto"/>
          <w:sz w:val="21"/>
          <w:szCs w:val="21"/>
        </w:rPr>
        <w:t>五岭逶迤腾细浪，乌蒙磅礴走泥丸。</w:t>
      </w:r>
    </w:p>
    <w:p w14:paraId="3789806B">
      <w:pPr>
        <w:jc w:val="center"/>
        <w:rPr>
          <w:rFonts w:hint="eastAsia" w:ascii="楷体" w:hAnsi="楷体" w:eastAsia="楷体" w:cs="楷体"/>
          <w:color w:val="auto"/>
          <w:sz w:val="21"/>
          <w:szCs w:val="21"/>
        </w:rPr>
      </w:pPr>
      <w:r>
        <w:rPr>
          <w:rFonts w:hint="eastAsia" w:ascii="楷体" w:hAnsi="楷体" w:eastAsia="楷体" w:cs="楷体"/>
          <w:color w:val="auto"/>
          <w:sz w:val="21"/>
          <w:szCs w:val="21"/>
        </w:rPr>
        <w:t>金沙水拍云崖暖，大渡桥横铁索寒。</w:t>
      </w:r>
    </w:p>
    <w:p w14:paraId="374195C2">
      <w:pPr>
        <w:jc w:val="center"/>
        <w:rPr>
          <w:rFonts w:hint="eastAsia" w:ascii="楷体" w:hAnsi="楷体" w:eastAsia="楷体" w:cs="楷体"/>
          <w:color w:val="auto"/>
          <w:sz w:val="21"/>
          <w:szCs w:val="21"/>
        </w:rPr>
      </w:pPr>
      <w:r>
        <w:rPr>
          <w:rFonts w:hint="eastAsia" w:ascii="楷体" w:hAnsi="楷体" w:eastAsia="楷体" w:cs="楷体"/>
          <w:color w:val="auto"/>
          <w:sz w:val="21"/>
          <w:szCs w:val="21"/>
        </w:rPr>
        <w:t>更喜岷山千里雪，三军过后尽开颜。</w:t>
      </w:r>
    </w:p>
    <w:bookmarkEnd w:id="0"/>
    <w:p w14:paraId="6AE0403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13" w:beforeLines="100" w:after="157" w:afterLines="50" w:line="288" w:lineRule="auto"/>
        <w:textAlignment w:val="auto"/>
        <w:rPr>
          <w:rFonts w:hint="eastAsia" w:ascii="黑体" w:hAnsi="黑体" w:eastAsia="黑体" w:cs="黑体"/>
          <w:b/>
          <w:bCs/>
          <w:color w:val="00B0F0"/>
          <w:sz w:val="21"/>
          <w:szCs w:val="21"/>
          <w:lang w:eastAsia="zh-CN"/>
        </w:rPr>
      </w:pPr>
      <w:r>
        <w:rPr>
          <w:rFonts w:hint="eastAsia" w:ascii="黑体" w:hAnsi="黑体" w:eastAsia="黑体" w:cs="黑体"/>
          <w:b/>
          <w:bCs/>
          <w:color w:val="00B0F0"/>
          <w:sz w:val="21"/>
          <w:szCs w:val="21"/>
          <w:lang w:eastAsia="zh-CN"/>
        </w:rPr>
        <w:t>【</w:t>
      </w:r>
      <w:r>
        <w:rPr>
          <w:rFonts w:hint="eastAsia" w:ascii="黑体" w:hAnsi="黑体" w:eastAsia="黑体" w:cs="黑体"/>
          <w:b/>
          <w:bCs/>
          <w:color w:val="00B0F0"/>
          <w:sz w:val="21"/>
          <w:szCs w:val="21"/>
          <w:lang w:val="en-US" w:eastAsia="zh-CN"/>
        </w:rPr>
        <w:t>注释</w:t>
      </w:r>
      <w:r>
        <w:rPr>
          <w:rFonts w:hint="eastAsia" w:ascii="黑体" w:hAnsi="黑体" w:eastAsia="黑体" w:cs="黑体"/>
          <w:b/>
          <w:bCs/>
          <w:color w:val="00B0F0"/>
          <w:sz w:val="21"/>
          <w:szCs w:val="21"/>
          <w:lang w:eastAsia="zh-CN"/>
        </w:rPr>
        <w:t>】</w:t>
      </w:r>
    </w:p>
    <w:p w14:paraId="36E2BB45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420" w:leftChars="0" w:hanging="420" w:firstLineChars="0"/>
        <w:textAlignment w:val="auto"/>
        <w:rPr>
          <w:rFonts w:hint="eastAsia" w:ascii="楷体" w:hAnsi="楷体" w:eastAsia="楷体" w:cs="楷体"/>
          <w:color w:val="auto"/>
          <w:sz w:val="21"/>
          <w:szCs w:val="21"/>
        </w:rPr>
      </w:pPr>
      <w:r>
        <w:rPr>
          <w:rFonts w:hint="eastAsia" w:ascii="楷体" w:hAnsi="楷体" w:eastAsia="楷体" w:cs="楷体"/>
          <w:color w:val="auto"/>
          <w:sz w:val="21"/>
          <w:szCs w:val="21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3551555</wp:posOffset>
            </wp:positionH>
            <wp:positionV relativeFrom="paragraph">
              <wp:posOffset>60960</wp:posOffset>
            </wp:positionV>
            <wp:extent cx="1800225" cy="1800225"/>
            <wp:effectExtent l="0" t="0" r="9525" b="9525"/>
            <wp:wrapSquare wrapText="bothSides"/>
            <wp:docPr id="1" name="图片 1" descr="长征精神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长征精神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800225" cy="1800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楷体" w:hAnsi="楷体" w:eastAsia="楷体" w:cs="楷体"/>
          <w:color w:val="auto"/>
          <w:sz w:val="21"/>
          <w:szCs w:val="21"/>
          <w:em w:val="dot"/>
          <w:lang w:eastAsia="zh-CN"/>
        </w:rPr>
        <w:t>长征</w:t>
      </w:r>
      <w:r>
        <w:rPr>
          <w:rFonts w:hint="eastAsia" w:ascii="楷体" w:hAnsi="楷体" w:eastAsia="楷体" w:cs="楷体"/>
          <w:color w:val="auto"/>
          <w:sz w:val="21"/>
          <w:szCs w:val="21"/>
        </w:rPr>
        <w:t>：1934年10月间，中央红军主力从中央革命根据地出发作战略大转移，经过福建、江西、广东、湖南、广西、贵州、四川、云南、西藏、甘肃、陕西等十一省，击溃了敌人多次的围追和堵截，战胜了军事上、政治上和自然界的无数艰险，行军二万五千里，终于在1935年10月到达陕北革命根据地。</w:t>
      </w:r>
    </w:p>
    <w:p w14:paraId="71B6A04C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420" w:leftChars="0" w:hanging="420" w:firstLineChars="0"/>
        <w:textAlignment w:val="auto"/>
        <w:rPr>
          <w:rFonts w:hint="eastAsia" w:ascii="楷体" w:hAnsi="楷体" w:eastAsia="楷体" w:cs="楷体"/>
          <w:color w:val="auto"/>
          <w:sz w:val="21"/>
          <w:szCs w:val="21"/>
        </w:rPr>
      </w:pPr>
      <w:r>
        <w:rPr>
          <w:rFonts w:hint="eastAsia" w:ascii="楷体" w:hAnsi="楷体" w:eastAsia="楷体" w:cs="楷体"/>
          <w:color w:val="auto"/>
          <w:sz w:val="21"/>
          <w:szCs w:val="21"/>
        </w:rPr>
        <w:t>五岭：大庾岭，骑田岭，都庞岭，萌渚岭，越城岭，横亘在江西、湖南、两广之间。</w:t>
      </w:r>
    </w:p>
    <w:p w14:paraId="1FEE907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397"/>
        <w:textAlignment w:val="auto"/>
        <w:rPr>
          <w:rFonts w:hint="eastAsia" w:ascii="楷体" w:hAnsi="楷体" w:eastAsia="楷体" w:cs="楷体"/>
          <w:color w:val="auto"/>
          <w:sz w:val="21"/>
          <w:szCs w:val="21"/>
        </w:rPr>
        <w:sectPr>
          <w:type w:val="continuous"/>
          <w:pgSz w:w="11906" w:h="16838"/>
          <w:pgMar w:top="1361" w:right="1701" w:bottom="1361" w:left="1701" w:header="794" w:footer="879" w:gutter="0"/>
          <w:paperSrc/>
          <w:pgBorders w:offsetFrom="page">
            <w:top w:val="none" w:sz="0" w:space="0"/>
            <w:left w:val="none" w:sz="0" w:space="0"/>
            <w:bottom w:val="none" w:sz="0" w:space="0"/>
            <w:right w:val="none" w:sz="0" w:space="0"/>
          </w:pgBorders>
          <w:cols w:space="0" w:num="1" w:sep="1"/>
          <w:rtlGutter w:val="0"/>
          <w:docGrid w:type="lines" w:linePitch="312" w:charSpace="0"/>
        </w:sectPr>
      </w:pPr>
    </w:p>
    <w:p w14:paraId="14671D5C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420" w:leftChars="0" w:hanging="420" w:firstLineChars="0"/>
        <w:textAlignment w:val="auto"/>
        <w:rPr>
          <w:rFonts w:hint="eastAsia" w:ascii="楷体" w:hAnsi="楷体" w:eastAsia="楷体" w:cs="楷体"/>
          <w:color w:val="auto"/>
          <w:sz w:val="21"/>
          <w:szCs w:val="21"/>
        </w:rPr>
      </w:pPr>
      <w:r>
        <w:rPr>
          <w:rFonts w:hint="eastAsia" w:ascii="楷体" w:hAnsi="楷体" w:eastAsia="楷体" w:cs="楷体"/>
          <w:color w:val="auto"/>
          <w:sz w:val="21"/>
          <w:szCs w:val="21"/>
        </w:rPr>
        <w:t>逶迤：形容道路、山脉、河流等弯弯曲曲，连绵不断的样子。</w:t>
      </w:r>
    </w:p>
    <w:p w14:paraId="28A9890A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420" w:leftChars="0" w:hanging="420" w:firstLineChars="0"/>
        <w:textAlignment w:val="auto"/>
        <w:rPr>
          <w:rFonts w:hint="eastAsia" w:ascii="楷体" w:hAnsi="楷体" w:eastAsia="楷体" w:cs="楷体"/>
          <w:color w:val="auto"/>
          <w:sz w:val="21"/>
          <w:szCs w:val="21"/>
        </w:rPr>
      </w:pPr>
      <w:r>
        <w:rPr>
          <w:rFonts w:hint="eastAsia" w:ascii="楷体" w:hAnsi="楷体" w:eastAsia="楷体" w:cs="楷体"/>
          <w:color w:val="auto"/>
          <w:sz w:val="21"/>
          <w:szCs w:val="21"/>
        </w:rPr>
        <w:t>乌蒙：山名。乌蒙山，在贵州西部与云南东北部的交界处，北临金沙江，山势陡峭。1935年4月，红军</w:t>
      </w:r>
      <w:r>
        <w:rPr>
          <w:rFonts w:hint="eastAsia" w:ascii="楷体" w:hAnsi="楷体" w:eastAsia="楷体" w:cs="楷体"/>
          <w:color w:val="auto"/>
          <w:sz w:val="21"/>
          <w:szCs w:val="21"/>
          <w:em w:val="dot"/>
          <w:lang w:eastAsia="zh-CN"/>
        </w:rPr>
        <w:t>长征</w:t>
      </w:r>
      <w:r>
        <w:rPr>
          <w:rFonts w:hint="eastAsia" w:ascii="楷体" w:hAnsi="楷体" w:eastAsia="楷体" w:cs="楷体"/>
          <w:color w:val="auto"/>
          <w:sz w:val="21"/>
          <w:szCs w:val="21"/>
        </w:rPr>
        <w:t>经过此地。</w:t>
      </w:r>
    </w:p>
    <w:p w14:paraId="6B5F8E8F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420" w:leftChars="0" w:hanging="420" w:firstLineChars="0"/>
        <w:textAlignment w:val="auto"/>
        <w:rPr>
          <w:rFonts w:hint="eastAsia" w:ascii="楷体" w:hAnsi="楷体" w:eastAsia="楷体" w:cs="楷体"/>
          <w:color w:val="auto"/>
          <w:sz w:val="21"/>
          <w:szCs w:val="21"/>
        </w:rPr>
      </w:pPr>
      <w:r>
        <w:rPr>
          <w:rFonts w:hint="eastAsia" w:ascii="楷体" w:hAnsi="楷体" w:eastAsia="楷体" w:cs="楷体"/>
          <w:color w:val="auto"/>
          <w:sz w:val="21"/>
          <w:szCs w:val="21"/>
        </w:rPr>
        <w:t>泥丸：小泥球，整句意思说险峻的乌蒙山在红军战士的脚下，就像是一个小泥球一样。</w:t>
      </w:r>
    </w:p>
    <w:p w14:paraId="2ACEFE69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420" w:leftChars="0" w:hanging="420" w:firstLineChars="0"/>
        <w:textAlignment w:val="auto"/>
        <w:rPr>
          <w:rFonts w:hint="eastAsia" w:ascii="楷体" w:hAnsi="楷体" w:eastAsia="楷体" w:cs="楷体"/>
          <w:color w:val="auto"/>
          <w:sz w:val="21"/>
          <w:szCs w:val="21"/>
        </w:rPr>
      </w:pPr>
      <w:r>
        <w:rPr>
          <w:rFonts w:hint="eastAsia" w:ascii="楷体" w:hAnsi="楷体" w:eastAsia="楷体" w:cs="楷体"/>
          <w:color w:val="auto"/>
          <w:sz w:val="21"/>
          <w:szCs w:val="21"/>
        </w:rPr>
        <w:t>金沙：金沙江，指长江上游自青海省玉树县至四川省宜宾市的一段，云南等地也有支流。1935年5月，红军曾强渡云南省禄劝县皎平渡渡口。</w:t>
      </w:r>
    </w:p>
    <w:p w14:paraId="045BA800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420" w:leftChars="0" w:hanging="420" w:firstLineChars="0"/>
        <w:textAlignment w:val="auto"/>
        <w:rPr>
          <w:rFonts w:hint="eastAsia" w:ascii="楷体" w:hAnsi="楷体" w:eastAsia="楷体" w:cs="楷体"/>
          <w:color w:val="auto"/>
          <w:sz w:val="21"/>
          <w:szCs w:val="21"/>
        </w:rPr>
      </w:pPr>
      <w:r>
        <w:rPr>
          <w:rFonts w:hint="eastAsia" w:ascii="楷体" w:hAnsi="楷体" w:eastAsia="楷体" w:cs="楷体"/>
          <w:color w:val="auto"/>
          <w:sz w:val="21"/>
          <w:szCs w:val="21"/>
        </w:rPr>
        <w:t>大渡桥：指四川省西部泸定县大渡河上的泸定桥，它是用十三根铁索组成的桥。</w:t>
      </w:r>
    </w:p>
    <w:p w14:paraId="72BBD7C7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420" w:leftChars="0" w:hanging="420" w:firstLineChars="0"/>
        <w:textAlignment w:val="auto"/>
        <w:rPr>
          <w:rFonts w:hint="eastAsia"/>
          <w:color w:val="auto"/>
          <w:sz w:val="21"/>
          <w:szCs w:val="21"/>
        </w:rPr>
      </w:pPr>
      <w:r>
        <w:rPr>
          <w:rFonts w:hint="eastAsia" w:ascii="楷体" w:hAnsi="楷体" w:eastAsia="楷体" w:cs="楷体"/>
          <w:color w:val="auto"/>
          <w:sz w:val="21"/>
          <w:szCs w:val="21"/>
        </w:rPr>
        <w:t>岷（mǐn）山：中国西部大山。位于甘肃省西南、四川省北部。西北-东南走向。西北接西倾山，南与邛崃山相连。包括甘肃南部的迭山，甘肃、四川边境的摩天岭。</w:t>
      </w:r>
    </w:p>
    <w:p w14:paraId="00024A1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textAlignment w:val="auto"/>
        <w:rPr>
          <w:rFonts w:hint="eastAsia"/>
          <w:color w:val="auto"/>
          <w:sz w:val="21"/>
          <w:szCs w:val="21"/>
          <w:lang w:eastAsia="zh-CN"/>
        </w:rPr>
        <w:sectPr>
          <w:type w:val="continuous"/>
          <w:pgSz w:w="11906" w:h="16838"/>
          <w:pgMar w:top="1361" w:right="1701" w:bottom="1361" w:left="1701" w:header="794" w:footer="879" w:gutter="0"/>
          <w:paperSrc/>
          <w:pgBorders w:offsetFrom="page">
            <w:top w:val="none" w:sz="0" w:space="0"/>
            <w:left w:val="none" w:sz="0" w:space="0"/>
            <w:bottom w:val="none" w:sz="0" w:space="0"/>
            <w:right w:val="none" w:sz="0" w:space="0"/>
          </w:pgBorders>
          <w:cols w:space="420" w:num="2" w:sep="1"/>
          <w:rtlGutter w:val="0"/>
          <w:docGrid w:type="lines" w:linePitch="312" w:charSpace="0"/>
        </w:sectPr>
      </w:pPr>
    </w:p>
    <w:p w14:paraId="71D9275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13" w:beforeLines="100" w:after="157" w:afterLines="50" w:line="288" w:lineRule="auto"/>
        <w:textAlignment w:val="auto"/>
        <w:rPr>
          <w:rFonts w:hint="eastAsia" w:ascii="黑体" w:hAnsi="黑体" w:eastAsia="黑体" w:cs="黑体"/>
          <w:b/>
          <w:bCs/>
          <w:color w:val="00B0F0"/>
          <w:sz w:val="21"/>
          <w:szCs w:val="21"/>
          <w:lang w:eastAsia="zh-CN"/>
        </w:rPr>
      </w:pPr>
      <w:r>
        <w:rPr>
          <w:rFonts w:hint="eastAsia" w:ascii="黑体" w:hAnsi="黑体" w:eastAsia="黑体" w:cs="黑体"/>
          <w:b/>
          <w:bCs/>
          <w:color w:val="00B0F0"/>
          <w:sz w:val="21"/>
          <w:szCs w:val="21"/>
          <w:lang w:eastAsia="zh-CN"/>
        </w:rPr>
        <w:t>【</w:t>
      </w:r>
      <w:r>
        <w:rPr>
          <w:rFonts w:hint="eastAsia" w:ascii="黑体" w:hAnsi="黑体" w:eastAsia="黑体" w:cs="黑体"/>
          <w:b/>
          <w:bCs/>
          <w:color w:val="00B0F0"/>
          <w:sz w:val="21"/>
          <w:szCs w:val="21"/>
          <w:lang w:val="en-US" w:eastAsia="zh-CN"/>
        </w:rPr>
        <w:t>简析</w:t>
      </w:r>
      <w:r>
        <w:rPr>
          <w:rFonts w:hint="eastAsia" w:ascii="黑体" w:hAnsi="黑体" w:eastAsia="黑体" w:cs="黑体"/>
          <w:b/>
          <w:bCs/>
          <w:color w:val="00B0F0"/>
          <w:sz w:val="21"/>
          <w:szCs w:val="21"/>
          <w:lang w:eastAsia="zh-CN"/>
        </w:rPr>
        <w:t>】</w:t>
      </w:r>
    </w:p>
    <w:p w14:paraId="3A18F3DE">
      <w:pPr>
        <w:keepNext/>
        <w:keepLines w:val="0"/>
        <w:pageBreakBefore w:val="0"/>
        <w:framePr w:dropCap="drop" w:lines="3" w:hSpace="283" w:wrap="around" w:vAnchor="text" w:hAnchor="text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1118" w:lineRule="exact"/>
        <w:ind w:firstLine="420" w:firstLineChars="0"/>
        <w:jc w:val="both"/>
        <w:textAlignment w:val="baseline"/>
        <w:rPr>
          <w:rFonts w:hint="eastAsia" w:ascii="楷体" w:hAnsi="楷体" w:eastAsia="楷体" w:cs="楷体"/>
          <w:color w:val="auto"/>
          <w:position w:val="-10"/>
          <w:sz w:val="120"/>
          <w:szCs w:val="120"/>
        </w:rPr>
      </w:pPr>
      <w:r>
        <w:rPr>
          <w:rFonts w:hint="eastAsia" w:ascii="楷体" w:hAnsi="楷体" w:eastAsia="楷体" w:cs="楷体"/>
          <w:color w:val="auto"/>
          <w:position w:val="-10"/>
          <w:sz w:val="120"/>
          <w:szCs w:val="120"/>
        </w:rPr>
        <w:t>这</w:t>
      </w:r>
    </w:p>
    <w:p w14:paraId="50401A1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firstLine="0" w:firstLineChars="0"/>
        <w:textAlignment w:val="auto"/>
        <w:rPr>
          <w:rFonts w:hint="eastAsia" w:ascii="楷体" w:hAnsi="楷体" w:eastAsia="楷体" w:cs="楷体"/>
          <w:color w:val="auto"/>
          <w:sz w:val="21"/>
          <w:szCs w:val="21"/>
        </w:rPr>
      </w:pPr>
      <w:r>
        <w:rPr>
          <w:rFonts w:hint="eastAsia" w:ascii="楷体" w:hAnsi="楷体" w:eastAsia="楷体" w:cs="楷体"/>
          <w:color w:val="auto"/>
          <w:sz w:val="21"/>
          <w:szCs w:val="21"/>
        </w:rPr>
        <w:t>是一首记叙二万五千里</w:t>
      </w:r>
      <w:r>
        <w:rPr>
          <w:rFonts w:hint="eastAsia" w:ascii="楷体" w:hAnsi="楷体" w:eastAsia="楷体" w:cs="楷体"/>
          <w:color w:val="auto"/>
          <w:sz w:val="21"/>
          <w:szCs w:val="21"/>
          <w:em w:val="dot"/>
          <w:lang w:eastAsia="zh-CN"/>
        </w:rPr>
        <w:t>长征</w:t>
      </w:r>
      <w:r>
        <w:rPr>
          <w:rFonts w:hint="eastAsia" w:ascii="楷体" w:hAnsi="楷体" w:eastAsia="楷体" w:cs="楷体"/>
          <w:color w:val="auto"/>
          <w:sz w:val="21"/>
          <w:szCs w:val="21"/>
        </w:rPr>
        <w:t>这一震惊全球的历史事件的革命史诗。它不仅以精炼之笔高度地概括了红军夺关杀敌的战斗历程，而且用革命的激情艺术地、形象地表现了红军战士不屈不挠、英勇顽强的大无畏气概和革命乐观主义精神。</w:t>
      </w:r>
    </w:p>
    <w:p w14:paraId="2891E38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firstLine="420" w:firstLineChars="200"/>
        <w:textAlignment w:val="auto"/>
        <w:rPr>
          <w:rFonts w:hint="eastAsia" w:ascii="楷体" w:hAnsi="楷体" w:eastAsia="楷体" w:cs="楷体"/>
          <w:color w:val="auto"/>
          <w:sz w:val="21"/>
          <w:szCs w:val="21"/>
        </w:rPr>
      </w:pPr>
      <w:r>
        <w:rPr>
          <w:rFonts w:hint="eastAsia" w:ascii="楷体" w:hAnsi="楷体" w:eastAsia="楷体" w:cs="楷体"/>
          <w:color w:val="auto"/>
          <w:sz w:val="21"/>
          <w:szCs w:val="21"/>
        </w:rPr>
        <w:t>“红军不怕远征难，万水千山只等闲。”首联开门见山赞美了红军不怕困难，勇敢顽强的革命精神，这是全篇的中心思想，也是全诗的艺术基调。它是全诗精神的开端，也是全诗意境的结穴。</w:t>
      </w:r>
    </w:p>
    <w:p w14:paraId="4E5725A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firstLine="420" w:firstLineChars="200"/>
        <w:textAlignment w:val="auto"/>
        <w:rPr>
          <w:rFonts w:hint="eastAsia" w:ascii="楷体" w:hAnsi="楷体" w:eastAsia="楷体" w:cs="楷体"/>
          <w:color w:val="auto"/>
          <w:sz w:val="21"/>
          <w:szCs w:val="21"/>
        </w:rPr>
      </w:pPr>
      <w:r>
        <w:rPr>
          <w:rFonts w:hint="eastAsia" w:ascii="楷体" w:hAnsi="楷体" w:eastAsia="楷体" w:cs="楷体"/>
          <w:color w:val="auto"/>
          <w:sz w:val="21"/>
          <w:szCs w:val="21"/>
        </w:rPr>
        <w:t>“不怕”二字是全诗的诗眼，“只等闲”强化、重申了“不怕”；“远征难”包举了这一段非凡的历史过程，“万水千山”则概写了“难”的内外蕴涵。这一联如高山坠石，滚滚而下，牵动着全篇，也笼罩着全诗。“只等闲”举重若轻，显示了诗人视自然之敌若梯米，玩社会之敌于股掌的统帅风度。“只”加强了坚定的语气，具有强烈的感情色彩。它对红军蔑视困难的革命精神作了突出和强调，表现了红军在刀剑丛中从容不迫，应付自如，无往不胜的铁军风貌。首联是全诗的总领，以下三联则紧扣首联展开。</w:t>
      </w:r>
    </w:p>
    <w:p w14:paraId="43D2BCD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firstLine="420" w:firstLineChars="200"/>
        <w:textAlignment w:val="auto"/>
        <w:rPr>
          <w:rFonts w:hint="eastAsia" w:ascii="楷体" w:hAnsi="楷体" w:eastAsia="楷体" w:cs="楷体"/>
          <w:color w:val="auto"/>
          <w:sz w:val="21"/>
          <w:szCs w:val="21"/>
        </w:rPr>
      </w:pPr>
      <w:r>
        <w:rPr>
          <w:rFonts w:hint="eastAsia" w:ascii="楷体" w:hAnsi="楷体" w:eastAsia="楷体" w:cs="楷体"/>
          <w:color w:val="auto"/>
          <w:sz w:val="21"/>
          <w:szCs w:val="21"/>
        </w:rPr>
        <w:t>《七律·</w:t>
      </w:r>
      <w:r>
        <w:rPr>
          <w:rFonts w:hint="eastAsia" w:ascii="楷体" w:hAnsi="楷体" w:eastAsia="楷体" w:cs="楷体"/>
          <w:color w:val="auto"/>
          <w:sz w:val="21"/>
          <w:szCs w:val="21"/>
          <w:em w:val="dot"/>
          <w:lang w:eastAsia="zh-CN"/>
        </w:rPr>
        <w:t>长征</w:t>
      </w:r>
      <w:r>
        <w:rPr>
          <w:rFonts w:hint="eastAsia" w:ascii="楷体" w:hAnsi="楷体" w:eastAsia="楷体" w:cs="楷体"/>
          <w:color w:val="auto"/>
          <w:sz w:val="21"/>
          <w:szCs w:val="21"/>
        </w:rPr>
        <w:t>》境界浩大，</w:t>
      </w:r>
      <w:bookmarkStart w:id="1" w:name="_GoBack"/>
      <w:bookmarkEnd w:id="1"/>
      <w:r>
        <w:rPr>
          <w:rFonts w:hint="eastAsia" w:ascii="楷体" w:hAnsi="楷体" w:eastAsia="楷体" w:cs="楷体"/>
          <w:color w:val="auto"/>
          <w:sz w:val="21"/>
          <w:szCs w:val="21"/>
        </w:rPr>
        <w:t>气象阔远，意境雄浑，气势磅礴，感情奔放，构思奇伟。它是浩瀚诗海中一颗熠熠发光的明珠，是中国文学史上一首不可多得的歌咏重大历史事件的史诗。</w:t>
      </w:r>
    </w:p>
    <w:p w14:paraId="672FF73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firstLine="420" w:firstLineChars="200"/>
        <w:textAlignment w:val="auto"/>
        <w:rPr>
          <w:rFonts w:hint="eastAsia" w:ascii="楷体" w:hAnsi="楷体" w:eastAsia="楷体" w:cs="楷体"/>
          <w:color w:val="auto"/>
          <w:sz w:val="21"/>
          <w:szCs w:val="21"/>
        </w:rPr>
      </w:pPr>
    </w:p>
    <w:p w14:paraId="56D3430D">
      <w:pPr>
        <w:rPr>
          <w:rFonts w:hint="eastAsia"/>
          <w:color w:val="auto"/>
        </w:rPr>
      </w:pPr>
    </w:p>
    <w:p w14:paraId="2748A5A4">
      <w:pPr>
        <w:rPr>
          <w:rFonts w:hint="eastAsia"/>
          <w:color w:val="auto"/>
        </w:rPr>
      </w:pPr>
    </w:p>
    <w:p w14:paraId="58481248">
      <w:pPr>
        <w:rPr>
          <w:rFonts w:hint="eastAsia"/>
          <w:color w:val="auto"/>
        </w:rPr>
      </w:pPr>
    </w:p>
    <w:p w14:paraId="17A006EA">
      <w:pPr>
        <w:rPr>
          <w:rFonts w:hint="eastAsia"/>
          <w:color w:val="auto"/>
        </w:rPr>
      </w:pPr>
    </w:p>
    <w:p w14:paraId="1667392B">
      <w:pPr>
        <w:rPr>
          <w:rFonts w:hint="eastAsia"/>
          <w:color w:val="auto"/>
        </w:rPr>
      </w:pPr>
    </w:p>
    <w:p w14:paraId="06B6CA7E">
      <w:pPr>
        <w:rPr>
          <w:rFonts w:hint="eastAsia"/>
          <w:color w:val="auto"/>
        </w:rPr>
      </w:pPr>
    </w:p>
    <w:p w14:paraId="0C1F1AA2">
      <w:pPr>
        <w:rPr>
          <w:rFonts w:hint="eastAsia"/>
          <w:color w:val="auto"/>
        </w:rPr>
      </w:pPr>
    </w:p>
    <w:p w14:paraId="40B51378">
      <w:pPr>
        <w:rPr>
          <w:rFonts w:hint="eastAsia"/>
          <w:color w:val="auto"/>
          <w:lang w:eastAsia="zh-CN"/>
        </w:rPr>
      </w:pPr>
    </w:p>
    <w:sectPr>
      <w:type w:val="continuous"/>
      <w:pgSz w:w="11906" w:h="16838"/>
      <w:pgMar w:top="1474" w:right="1757" w:bottom="1474" w:left="1757" w:header="851" w:footer="992" w:gutter="0"/>
      <w:pgBorders w:offsetFrom="page">
        <w:top w:val="none" w:sz="0" w:space="0"/>
        <w:left w:val="none" w:sz="0" w:space="0"/>
        <w:bottom w:val="none" w:sz="0" w:space="0"/>
        <w:right w:val="none" w:sz="0" w:space="0"/>
      </w:pgBorders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MS Mincho">
    <w:altName w:val="Shunpu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hunpu">
    <w:panose1 w:val="02000609000000000000"/>
    <w:charset w:val="80"/>
    <w:family w:val="auto"/>
    <w:pitch w:val="default"/>
    <w:sig w:usb0="A00002BF" w:usb1="68C7FCFB" w:usb2="00000010" w:usb3="00000000" w:csb0="4002009F" w:csb1="DFD7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6403282"/>
    <w:multiLevelType w:val="singleLevel"/>
    <w:tmpl w:val="B6403282"/>
    <w:lvl w:ilvl="0" w:tentative="0">
      <w:start w:val="1"/>
      <w:numFmt w:val="bullet"/>
      <w:lvlText w:val=""/>
      <w:lvlJc w:val="left"/>
      <w:pPr>
        <w:ind w:left="420" w:hanging="42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YxZGRkYmE2NWIzNjc4ZTU0MDY2OWY1MTJkOGUzOTEifQ=="/>
  </w:docVars>
  <w:rsids>
    <w:rsidRoot w:val="7AD2505C"/>
    <w:rsid w:val="154064DD"/>
    <w:rsid w:val="29192283"/>
    <w:rsid w:val="2DB64EF9"/>
    <w:rsid w:val="2ED51684"/>
    <w:rsid w:val="3B8678B6"/>
    <w:rsid w:val="4F3D2434"/>
    <w:rsid w:val="7AD25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autoRedefine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7">
    <w:name w:val="Default Paragraph Font"/>
    <w:semiHidden/>
    <w:uiPriority w:val="0"/>
  </w:style>
  <w:style w:type="table" w:default="1" w:styleId="6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5">
    <w:name w:val="Normal (Web)"/>
    <w:basedOn w:val="1"/>
    <w:autoRedefine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8">
    <w:name w:val="Hyperlink"/>
    <w:basedOn w:val="7"/>
    <w:autoRedefine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1024</Words>
  <Characters>1040</Characters>
  <Lines>0</Lines>
  <Paragraphs>0</Paragraphs>
  <TotalTime>173</TotalTime>
  <ScaleCrop>false</ScaleCrop>
  <LinksUpToDate>false</LinksUpToDate>
  <CharactersWithSpaces>1040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2024-05-13T07:01:00Z</dcterms:created>
  <dc:creator>大雪</dc:creator>
  <cp:lastModifiedBy>上善若水</cp:lastModifiedBy>
  <dcterms:modified xsi:type="dcterms:W3CDTF">2025-10-14T06:39:56Z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7ECE1A55F9E744A595A8BB5873C9A9F7_11</vt:lpwstr>
  </property>
  <property fmtid="{D5CDD505-2E9C-101B-9397-08002B2CF9AE}" pid="4" name="KSOTemplateDocerSaveRecord">
    <vt:lpwstr>eyJoZGlkIjoiYWI0NTQxOTE5MmRjY2Q1ZDRjOWE2ZGViMmVkNzQ2OGMiLCJ1c2VySWQiOiI0NTYzODY5NzQifQ==</vt:lpwstr>
  </property>
</Properties>
</file>